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CBC">
      <w:pPr>
        <w:pStyle w:val="Nadpis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SU-MD-su_543</w:t>
      </w:r>
    </w:p>
    <w:p w:rsidR="00000000" w:rsidRDefault="00AE5CBC">
      <w:pPr>
        <w:pStyle w:val="fstitlepage"/>
        <w:jc w:val="center"/>
      </w:pPr>
      <w:r>
        <w:rPr>
          <w:rStyle w:val="su2header"/>
          <w:color w:val="000000"/>
          <w:sz w:val="50"/>
          <w:szCs w:val="50"/>
        </w:rPr>
        <w:t xml:space="preserve">Zavedenie využívania nástrojov telemonitorovania pre zvýšenie kvality života občanov SR </w:t>
      </w:r>
    </w:p>
    <w:p w:rsidR="00000000" w:rsidRDefault="00AE5CBC">
      <w:pPr>
        <w:pStyle w:val="Normlnywebov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00000">
        <w:trPr>
          <w:divId w:val="18960430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/>
        </w:tc>
      </w:tr>
      <w:tr w:rsidR="00000000">
        <w:trPr>
          <w:divId w:val="18960430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 xml:space="preserve">dátum </w:t>
            </w:r>
            <w:r>
              <w:br/>
              <w:t>Tento dokument obsahuje x strán</w:t>
            </w:r>
          </w:p>
        </w:tc>
      </w:tr>
      <w:tr w:rsidR="00000000">
        <w:trPr>
          <w:divId w:val="18960430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/>
        </w:tc>
      </w:tr>
      <w:tr w:rsidR="00000000">
        <w:trPr>
          <w:divId w:val="18960430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5CBC">
      <w:pPr>
        <w:pStyle w:val="Normlnywebov"/>
      </w:pPr>
    </w:p>
    <w:p w:rsidR="00000000" w:rsidRDefault="00AE5CBC">
      <w:pPr>
        <w:pStyle w:val="Normlnywebov"/>
      </w:pPr>
      <w:r>
        <w:br/>
      </w:r>
      <w:r>
        <w:rPr>
          <w:rStyle w:val="Siln"/>
        </w:rPr>
        <w:t>Obsah</w:t>
      </w:r>
      <w:r>
        <w:t xml:space="preserve"> </w:t>
      </w:r>
      <w:r>
        <w:br/>
      </w:r>
      <w:hyperlink w:anchor="SU-MD-su_543-_Toc413660701" w:history="1">
        <w:r>
          <w:rPr>
            <w:rStyle w:val="Hypertextovprepojenie"/>
          </w:rPr>
          <w:t xml:space="preserve">1 Základné informácie </w:t>
        </w:r>
      </w:hyperlink>
      <w:r>
        <w:br/>
      </w:r>
      <w:hyperlink w:anchor="SU-MD-su_543-_Toc413660702" w:history="1">
        <w:r>
          <w:rPr>
            <w:rStyle w:val="Hypertextovprepojenie"/>
          </w:rPr>
          <w:t xml:space="preserve">1.1 Prehľad </w:t>
        </w:r>
      </w:hyperlink>
      <w:r>
        <w:br/>
      </w:r>
      <w:hyperlink w:anchor="SU-MD-su_543-_Toc413660703" w:history="1">
        <w:r>
          <w:rPr>
            <w:rStyle w:val="Hypertextovprepojenie"/>
          </w:rPr>
          <w:t xml:space="preserve">1.2 Dôvod </w:t>
        </w:r>
      </w:hyperlink>
      <w:r>
        <w:br/>
      </w:r>
      <w:hyperlink w:anchor="SU-MD-su_543-_Toc413660704" w:history="1">
        <w:r>
          <w:rPr>
            <w:rStyle w:val="Hypertextovprepojenie"/>
          </w:rPr>
          <w:t xml:space="preserve">1.3 Rozsah </w:t>
        </w:r>
      </w:hyperlink>
      <w:r>
        <w:br/>
      </w:r>
      <w:hyperlink w:anchor="SU-MD-su_543-_Toc413660705" w:history="1">
        <w:r>
          <w:rPr>
            <w:rStyle w:val="Hypertextovprepojenie"/>
          </w:rPr>
          <w:t>1.4 Použité skratky a zn</w:t>
        </w:r>
        <w:r>
          <w:rPr>
            <w:rStyle w:val="Hypertextovprepojenie"/>
          </w:rPr>
          <w:t xml:space="preserve">ačky </w:t>
        </w:r>
      </w:hyperlink>
      <w:r>
        <w:br/>
      </w:r>
      <w:hyperlink w:anchor="SU-MD-su_543-_Toc413660706" w:history="1">
        <w:r>
          <w:rPr>
            <w:rStyle w:val="Hypertextovprepojenie"/>
          </w:rPr>
          <w:t xml:space="preserve">2 Manažérske zhrnutie </w:t>
        </w:r>
      </w:hyperlink>
      <w:r>
        <w:br/>
      </w:r>
      <w:hyperlink w:anchor="SU-MD-su_543-_Toc413660707" w:history="1">
        <w:r>
          <w:rPr>
            <w:rStyle w:val="Hypertextovprepojenie"/>
          </w:rPr>
          <w:t xml:space="preserve">2.1 Motivácia </w:t>
        </w:r>
      </w:hyperlink>
      <w:r>
        <w:br/>
      </w:r>
      <w:hyperlink w:anchor="SU-MD-su_543-_Toc413660708" w:history="1">
        <w:r>
          <w:rPr>
            <w:rStyle w:val="Hypertextovprepojenie"/>
          </w:rPr>
          <w:t xml:space="preserve">2.2 Popis aktuálneho stavu </w:t>
        </w:r>
      </w:hyperlink>
      <w:r>
        <w:br/>
      </w:r>
      <w:hyperlink w:anchor="SU-MD-su_543-_Toc413660709" w:history="1">
        <w:r>
          <w:rPr>
            <w:rStyle w:val="Hypertextovprepojenie"/>
          </w:rPr>
          <w:t xml:space="preserve">2.2.1 Legislatíva </w:t>
        </w:r>
      </w:hyperlink>
      <w:r>
        <w:br/>
      </w:r>
      <w:hyperlink w:anchor="SU-MD-su_543-_Toc413660710" w:history="1">
        <w:r>
          <w:rPr>
            <w:rStyle w:val="Hypertextovprepojenie"/>
          </w:rPr>
          <w:t xml:space="preserve">2.2.2 Architektúra </w:t>
        </w:r>
      </w:hyperlink>
      <w:r>
        <w:br/>
      </w:r>
      <w:hyperlink w:anchor="SU-MD-su_543-_Toc413660711" w:history="1">
        <w:r>
          <w:rPr>
            <w:rStyle w:val="Hypertextovprepojenie"/>
          </w:rPr>
          <w:t xml:space="preserve">2.2.3 Prevádzka </w:t>
        </w:r>
      </w:hyperlink>
      <w:r>
        <w:br/>
      </w:r>
      <w:hyperlink w:anchor="SU-MD-su_543-_Toc413660712" w:history="1">
        <w:r>
          <w:rPr>
            <w:rStyle w:val="Hypertextovprepojenie"/>
          </w:rPr>
          <w:t xml:space="preserve">2.3 Alternatívne riešenia </w:t>
        </w:r>
      </w:hyperlink>
      <w:r>
        <w:br/>
      </w:r>
      <w:hyperlink w:anchor="SU-MD-su_543-_Toc413660713" w:history="1">
        <w:r>
          <w:rPr>
            <w:rStyle w:val="Hypertextovprepojenie"/>
          </w:rPr>
          <w:t xml:space="preserve">2.3.1 Alternatíva A – „Názov" </w:t>
        </w:r>
      </w:hyperlink>
      <w:r>
        <w:br/>
      </w:r>
      <w:hyperlink w:anchor="SU-MD-su_543-_Toc413660714" w:history="1">
        <w:r>
          <w:rPr>
            <w:rStyle w:val="Hypertextovprepojenie"/>
          </w:rPr>
          <w:t xml:space="preserve">2.3.2 Alternatíva B – „Názov" </w:t>
        </w:r>
      </w:hyperlink>
      <w:r>
        <w:br/>
      </w:r>
      <w:hyperlink w:anchor="SU-MD-su_543-_Toc413660715" w:history="1">
        <w:r>
          <w:rPr>
            <w:rStyle w:val="Hypertextovprepojenie"/>
          </w:rPr>
          <w:t xml:space="preserve">2.4 Popis budúceho stavu </w:t>
        </w:r>
      </w:hyperlink>
      <w:r>
        <w:br/>
      </w:r>
      <w:hyperlink w:anchor="SU-MD-su_543-_Toc413660716" w:history="1">
        <w:r>
          <w:rPr>
            <w:rStyle w:val="Hypertextovprepojenie"/>
          </w:rPr>
          <w:t xml:space="preserve">2.4.1 Legislatíva </w:t>
        </w:r>
      </w:hyperlink>
      <w:r>
        <w:br/>
      </w:r>
      <w:hyperlink w:anchor="SU-MD-su_543-_Toc413660717" w:history="1">
        <w:r>
          <w:rPr>
            <w:rStyle w:val="Hypertextovprepojenie"/>
          </w:rPr>
          <w:t xml:space="preserve">2.4.2 Architektúra </w:t>
        </w:r>
      </w:hyperlink>
      <w:r>
        <w:br/>
      </w:r>
      <w:hyperlink w:anchor="SU-MD-su_543-_Toc413660718" w:history="1">
        <w:r>
          <w:rPr>
            <w:rStyle w:val="Hypertextovprepojenie"/>
          </w:rPr>
          <w:t xml:space="preserve">2.4.3 Prevádzka </w:t>
        </w:r>
      </w:hyperlink>
      <w:r>
        <w:br/>
      </w:r>
      <w:hyperlink w:anchor="SU-MD-su_543-_Toc413660719" w:history="1">
        <w:r>
          <w:rPr>
            <w:rStyle w:val="Hypertextovprepojenie"/>
          </w:rPr>
          <w:t xml:space="preserve">2.4.4 Ekonomická analýza </w:t>
        </w:r>
      </w:hyperlink>
    </w:p>
    <w:p w:rsidR="00000000" w:rsidRDefault="00AE5CBC">
      <w:pPr>
        <w:pStyle w:val="Normlnywebov"/>
      </w:pPr>
      <w:r>
        <w:br/>
      </w:r>
      <w:r>
        <w:br/>
      </w:r>
      <w:r>
        <w:rPr>
          <w:rStyle w:val="Siln"/>
        </w:rPr>
        <w:lastRenderedPageBreak/>
        <w:t>Zoznam tabuliek</w:t>
      </w:r>
      <w:r>
        <w:t xml:space="preserve"> </w:t>
      </w:r>
      <w:r>
        <w:br/>
      </w:r>
      <w:hyperlink w:anchor="SU-MD-su_543-_Toc413660678" w:history="1">
        <w:r>
          <w:rPr>
            <w:rStyle w:val="Hypertextovprepojenie"/>
          </w:rPr>
          <w:t xml:space="preserve">Tabuľka 1 Základné informácie - zhrnutie </w:t>
        </w:r>
      </w:hyperlink>
      <w:r>
        <w:br/>
      </w:r>
      <w:hyperlink w:anchor="SU-MD-su_543-_Toc413660679" w:history="1">
        <w:r>
          <w:rPr>
            <w:rStyle w:val="Hypertextovprepojenie"/>
          </w:rPr>
          <w:t xml:space="preserve">Tabuľka 2 Skratky a značky </w:t>
        </w:r>
      </w:hyperlink>
      <w:r>
        <w:br/>
      </w:r>
      <w:hyperlink w:anchor="SU-MD-su_543-_Toc413660680" w:history="1">
        <w:r>
          <w:rPr>
            <w:rStyle w:val="Hypertextovprepojenie"/>
          </w:rPr>
          <w:t xml:space="preserve">Tabuľka 3 Motivácia – </w:t>
        </w:r>
        <w:r>
          <w:rPr>
            <w:rStyle w:val="Hypertextovprepojenie"/>
          </w:rPr>
          <w:t xml:space="preserve">budúci stav </w:t>
        </w:r>
      </w:hyperlink>
      <w:r>
        <w:br/>
      </w:r>
      <w:hyperlink w:anchor="SU-MD-su_543-_Toc413660681" w:history="1">
        <w:r>
          <w:rPr>
            <w:rStyle w:val="Hypertextovprepojenie"/>
          </w:rPr>
          <w:t xml:space="preserve">Tabuľka 4 Legislatíva – aktuálny stav </w:t>
        </w:r>
      </w:hyperlink>
      <w:r>
        <w:br/>
      </w:r>
      <w:hyperlink w:anchor="SU-MD-su_543-_Toc413660682" w:history="1">
        <w:r>
          <w:rPr>
            <w:rStyle w:val="Hypertextovprepojenie"/>
          </w:rPr>
          <w:t xml:space="preserve">Tabuľka 5 Biznis architektúra - aktuálny stav </w:t>
        </w:r>
      </w:hyperlink>
      <w:r>
        <w:br/>
      </w:r>
      <w:hyperlink w:anchor="SU-MD-su_543-_Toc413660683" w:history="1">
        <w:r>
          <w:rPr>
            <w:rStyle w:val="Hypertextovprepojenie"/>
          </w:rPr>
          <w:t xml:space="preserve">Tabuľka 6 </w:t>
        </w:r>
        <w:r>
          <w:rPr>
            <w:rStyle w:val="Hypertextovprepojenie"/>
          </w:rPr>
          <w:t xml:space="preserve">Architektúra informačných systémov - aktuálny stav </w:t>
        </w:r>
      </w:hyperlink>
      <w:r>
        <w:br/>
      </w:r>
      <w:hyperlink w:anchor="SU-MD-su_543-_Toc413660684" w:history="1">
        <w:r>
          <w:rPr>
            <w:rStyle w:val="Hypertextovprepojenie"/>
          </w:rPr>
          <w:t xml:space="preserve">Tabuľka 7 Technologická architektúra - aktuálny stav </w:t>
        </w:r>
      </w:hyperlink>
      <w:r>
        <w:br/>
      </w:r>
      <w:hyperlink w:anchor="SU-MD-su_543-_Toc413660685" w:history="1">
        <w:r>
          <w:rPr>
            <w:rStyle w:val="Hypertextovprepojenie"/>
          </w:rPr>
          <w:t xml:space="preserve">Tabuľka 8 Bezpečnostná architektúra - aktuálny stav </w:t>
        </w:r>
      </w:hyperlink>
      <w:r>
        <w:br/>
      </w:r>
      <w:hyperlink w:anchor="SU-MD-su_543-_Toc413660686" w:history="1">
        <w:r>
          <w:rPr>
            <w:rStyle w:val="Hypertextovprepojenie"/>
          </w:rPr>
          <w:t xml:space="preserve">Tabuľka 9 Prevádzka - aktuálny stav </w:t>
        </w:r>
      </w:hyperlink>
      <w:r>
        <w:br/>
      </w:r>
      <w:hyperlink w:anchor="SU-MD-su_543-_Toc413660687" w:history="1">
        <w:r>
          <w:rPr>
            <w:rStyle w:val="Hypertextovprepojenie"/>
          </w:rPr>
          <w:t xml:space="preserve">Tabuľka 10 Legislatíva - budúci stav </w:t>
        </w:r>
      </w:hyperlink>
      <w:r>
        <w:br/>
      </w:r>
      <w:hyperlink w:anchor="SU-MD-su_543-_Toc413660688" w:history="1">
        <w:r>
          <w:rPr>
            <w:rStyle w:val="Hypertextovprepojenie"/>
          </w:rPr>
          <w:t xml:space="preserve">Tabuľka 11 Biznis architektúra – </w:t>
        </w:r>
        <w:r>
          <w:rPr>
            <w:rStyle w:val="Hypertextovprepojenie"/>
          </w:rPr>
          <w:t xml:space="preserve">budúci stav </w:t>
        </w:r>
      </w:hyperlink>
      <w:r>
        <w:br/>
      </w:r>
      <w:hyperlink w:anchor="SU-MD-su_543-_Toc413660689" w:history="1">
        <w:r>
          <w:rPr>
            <w:rStyle w:val="Hypertextovprepojenie"/>
          </w:rPr>
          <w:t xml:space="preserve">Tabuľka 12 Architektúra informačných systémov - budúci stav </w:t>
        </w:r>
      </w:hyperlink>
      <w:r>
        <w:br/>
      </w:r>
      <w:hyperlink w:anchor="SU-MD-su_543-_Toc413660690" w:history="1">
        <w:r>
          <w:rPr>
            <w:rStyle w:val="Hypertextovprepojenie"/>
          </w:rPr>
          <w:t xml:space="preserve">Tabuľka 13 Technologická architektúra - budúci stav </w:t>
        </w:r>
      </w:hyperlink>
      <w:r>
        <w:br/>
      </w:r>
      <w:hyperlink w:anchor="SU-MD-su_543-_Toc413660691" w:history="1">
        <w:r>
          <w:rPr>
            <w:rStyle w:val="Hypertextovprepojenie"/>
          </w:rPr>
          <w:t xml:space="preserve">Tabuľka 14 Implementácia a migrácia </w:t>
        </w:r>
      </w:hyperlink>
      <w:r>
        <w:br/>
      </w:r>
      <w:hyperlink w:anchor="SU-MD-su_543-_Toc413660692" w:history="1">
        <w:r>
          <w:rPr>
            <w:rStyle w:val="Hypertextovprepojenie"/>
          </w:rPr>
          <w:t xml:space="preserve">Tabuľka 15 Bezpečnostná architektúra - budúci stav </w:t>
        </w:r>
      </w:hyperlink>
      <w:r>
        <w:br/>
      </w:r>
      <w:hyperlink w:anchor="SU-MD-su_543-_Toc413660693" w:history="1">
        <w:r>
          <w:rPr>
            <w:rStyle w:val="Hypertextovprepojenie"/>
          </w:rPr>
          <w:t xml:space="preserve">Tabuľka 16 Prevádzka - budúci stav </w:t>
        </w:r>
      </w:hyperlink>
      <w:r>
        <w:br/>
      </w:r>
      <w:hyperlink w:anchor="SU-MD-su_543-_Toc413660694" w:history="1">
        <w:r>
          <w:rPr>
            <w:rStyle w:val="Hypertextovprepojenie"/>
          </w:rPr>
          <w:t>Tabuľka 17 Ekonomická analýza - budúci stav</w:t>
        </w:r>
      </w:hyperlink>
    </w:p>
    <w:p w:rsidR="00000000" w:rsidRDefault="00AE5CBC">
      <w:pPr>
        <w:pStyle w:val="Normlnywebov"/>
      </w:pPr>
    </w:p>
    <w:p w:rsidR="00000000" w:rsidRDefault="00AE5CBC">
      <w:pPr>
        <w:pStyle w:val="Nadpis1"/>
        <w:rPr>
          <w:rFonts w:eastAsia="Times New Roman"/>
        </w:rPr>
      </w:pPr>
      <w:r>
        <w:rPr>
          <w:rFonts w:eastAsia="Times New Roman"/>
        </w:rPr>
        <w:t>Základné informácie</w:t>
      </w: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Prehľad</w:t>
      </w:r>
    </w:p>
    <w:p w:rsidR="00000000" w:rsidRDefault="00AE5CBC">
      <w:pPr>
        <w:pStyle w:val="Nadpis2"/>
        <w:rPr>
          <w:rFonts w:eastAsia="Times New Roman"/>
        </w:rPr>
      </w:pPr>
      <w:r>
        <w:rPr>
          <w:rStyle w:val="Zvraznenie"/>
          <w:rFonts w:eastAsia="Times New Roman"/>
        </w:rPr>
        <w:t>1 Základné informácie - zhrnutie</w:t>
      </w:r>
    </w:p>
    <w:tbl>
      <w:tblPr>
        <w:tblW w:w="49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6"/>
        <w:gridCol w:w="2012"/>
      </w:tblGrid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Zdôvodnenie využitia dopytového projektu prostredníctvom výzvy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Predmetom realizácie projektu je zvýšenie využívania telemedicínskych technológií, v zmysle výzvy č. OPII-2019/7/9-DOP na predkladanie Žiadostí o poskytnutie nenávratného finančného príspevku na „Digitálnu inklúziu“.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Prijímateľa dopytového projektu a dôv</w:t>
            </w:r>
            <w:r>
              <w:rPr>
                <w:rStyle w:val="Siln"/>
              </w:rPr>
              <w:t>od jeho určenia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Navrhovateľom dopytového projektu je Fakulta elektrotechniky a informatiky Slovenskej Technickej Univerzity (ďalej tiež „FEI STU“).</w:t>
            </w:r>
          </w:p>
          <w:p w:rsidR="00000000" w:rsidRDefault="00AE5CBC">
            <w:pPr>
              <w:pStyle w:val="Normlnywebov"/>
            </w:pPr>
            <w:r>
              <w:t>Slovenská technická univerzita v Bratislave (STUBA)  je verejná vysoká škola, ktorej cieľom je podľa  v zm</w:t>
            </w:r>
            <w:r>
              <w:t>ysle §1 Zákona č. 131/2002 Z. z. o vysokých školách (ďalej Zákon o VŠ) a o zmene a doplnení niektorých zákonov okrem iného aj  prispievať k rozvoju vzdelanosti, vedy, kultúry a zdravia pre blaho celej spoločnosti, a tým prispievať k rozvoju vedomostnej spo</w:t>
            </w:r>
            <w:r>
              <w:t>ločnosti. Vysoká škola v zmysle vyššie uvedeného zákona napĺňa svoje poslanie aj rozvíjaním, uchovávaním a šírením poznania prostredníctvom výskumnej, vývojovej alebo umeleckej a ďalšej tvorivej činnosti a prispievaním k prevencii a liečbe ochorení.</w:t>
            </w:r>
          </w:p>
          <w:p w:rsidR="00000000" w:rsidRDefault="00AE5CBC">
            <w:pPr>
              <w:pStyle w:val="Normlnywebov"/>
            </w:pPr>
            <w:r>
              <w:t xml:space="preserve">STUBA </w:t>
            </w:r>
            <w:r>
              <w:t>predstavuje renomovanú inštitúciu, pôsobiacu v oblasti vzdelávania, výskumu, vývoja a zavádzania inovácií do praxe už viac ako 80 rokov. FEI STU je jedným z hlavných významných pilierov transferu inovácií do praxe s rozsiahlym percentom výstupov, orientova</w:t>
            </w:r>
            <w:r>
              <w:t>ných na dosahovanie transferu technológií do praxe.</w:t>
            </w:r>
          </w:p>
          <w:p w:rsidR="00000000" w:rsidRDefault="00AE5CBC">
            <w:pPr>
              <w:pStyle w:val="Normlnywebov"/>
            </w:pPr>
            <w:r>
              <w:t xml:space="preserve">V rámci FEI STU bolo v roku 2011 vytvorené a založené </w:t>
            </w:r>
            <w:r>
              <w:rPr>
                <w:rStyle w:val="Siln"/>
              </w:rPr>
              <w:t>Národné centrum telemedicínskych služieb</w:t>
            </w:r>
            <w:r>
              <w:t>, ktoré už takmer 10 rokov aktívne rieši otázky technické, technologické, výskumné i vývojové, týkajúce sa pro</w:t>
            </w:r>
            <w:r>
              <w:t>blematiky telemedicíny a asistovaného života a v uvedenom období poskytlo a vytvorilo v spolupráci s ďalšími odbornými kapacitami mnoho relevantných výstupov v oblasti meracích zariadení, systémov, užívateľských diagramov, dátovej bezpečnosti i kognitívnyc</w:t>
            </w:r>
            <w:r>
              <w:t>h schopností a vlastností analytických nástrojov spracovania dát.</w:t>
            </w:r>
          </w:p>
          <w:p w:rsidR="00000000" w:rsidRDefault="00AE5CBC">
            <w:pPr>
              <w:pStyle w:val="Normlnywebov"/>
            </w:pPr>
            <w:r>
              <w:t>Počas uvedeného obdobia zároveň centrum vytvorilo a zosieťovalo mnoho iných jedinečných pracovísk, medzi ktoré možno zaradiť Národný ústav srdcovocievnych chorôb (NÚSCH) či Stredoslovenský ú</w:t>
            </w:r>
            <w:r>
              <w:t>stav srdcových a cievnych chorôb (SÚSCCH), Východoslovenský ústav srdcových a cievnych chorôb (VÚSCCH), Lekársku fakultu Univerzity Komenského ako aj mnohé ďalšie odborné pracoviská. Existujúca a dlhodobo prosperujúca spolupráca s uvedenými inštitúciami ak</w:t>
            </w:r>
            <w:r>
              <w:t>o aj Žilinskou univerzitou a Technickou univerzitou v Košiciach poskytuje záruku pre širokospektrálnu implementáciu projektu v rozsahu celého Slovenska.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Príslušnosť národného projektu k relevantnej časti PO7 OPII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lastRenderedPageBreak/>
              <w:t>Príslušnosť dopytového projektu k relev</w:t>
            </w:r>
            <w:r>
              <w:rPr>
                <w:rStyle w:val="Siln"/>
              </w:rPr>
              <w:t>antnej časti PO7 OPII</w:t>
            </w:r>
          </w:p>
          <w:p w:rsidR="00000000" w:rsidRDefault="00AE5CBC">
            <w:pPr>
              <w:pStyle w:val="Normlnywebov"/>
            </w:pPr>
            <w:r>
              <w:t>Navrhovaný projekt je príslušný k špecifickému cieľu:</w:t>
            </w:r>
          </w:p>
          <w:p w:rsidR="00000000" w:rsidRDefault="00AE5CB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Prioritná os 7. Informačná spoločnosť</w:t>
            </w:r>
          </w:p>
          <w:p w:rsidR="00000000" w:rsidRDefault="00AE5CB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IP 2c) Posilnenie aplikácií IKT v rámci elektronickej štátnej správy, elektronického vzdelávania, elektronickej inklúzie, elektronickej kultúry a elektronického zdravotníctva</w:t>
            </w:r>
          </w:p>
          <w:p w:rsidR="00000000" w:rsidRDefault="00AE5CB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Špecifický cieľ 6 Zlepšenie digitálnych zručností a inklúzie znevýhodnených jedno</w:t>
            </w:r>
            <w:r>
              <w:rPr>
                <w:rFonts w:eastAsia="Times New Roman"/>
              </w:rPr>
              <w:t>tlivcov digitálneho trhu</w:t>
            </w:r>
          </w:p>
          <w:p w:rsidR="00000000" w:rsidRDefault="00AE5CBC">
            <w:pPr>
              <w:pStyle w:val="Normlnywebov"/>
            </w:pPr>
            <w:r>
              <w:t>Projekt je v rámci výzvy č. OPII-2019/7/9-DOP zaradený do typu aktivity I - Zavedenie nástrojov pre podporu asistovaného života a telemedicíny.</w:t>
            </w:r>
          </w:p>
          <w:p w:rsidR="00000000" w:rsidRDefault="00AE5CBC">
            <w:pPr>
              <w:pStyle w:val="Normlnywebov"/>
            </w:pPr>
            <w:r>
              <w:t>Výsledkom realizácie projektu budú dosiahnuté efekty:</w:t>
            </w:r>
          </w:p>
          <w:p w:rsidR="00000000" w:rsidRDefault="00AE5C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zotrvanie v prirodzenom domácom p</w:t>
            </w:r>
            <w:r>
              <w:rPr>
                <w:rFonts w:eastAsia="Times New Roman"/>
              </w:rPr>
              <w:t>rostredí;</w:t>
            </w:r>
          </w:p>
          <w:p w:rsidR="00000000" w:rsidRDefault="00AE5C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skorší návrat do domáceho prostredia po hospitalizácii, resp. poskytnutí sociálnej služby;</w:t>
            </w:r>
          </w:p>
          <w:p w:rsidR="00000000" w:rsidRDefault="00AE5C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pri poskytovaní zdravotnej alebo sociálnej starostlivosti sa odstránia neproduktívne alebo vedľajšie výkony (napr. preprava pacienta za lekárom);</w:t>
            </w:r>
          </w:p>
          <w:p w:rsidR="00000000" w:rsidRDefault="00AE5CBC">
            <w:pPr>
              <w:pStyle w:val="Normlnywebov"/>
            </w:pPr>
            <w:r>
              <w:rPr>
                <w:u w:val="single"/>
              </w:rPr>
              <w:t>Financova</w:t>
            </w:r>
            <w:r>
              <w:rPr>
                <w:u w:val="single"/>
              </w:rPr>
              <w:t>nie celkových oprávnených výdavkov projektu v rámci tejto výzvy</w:t>
            </w:r>
            <w:r>
              <w:t> PO7 OPII pre typ Aktivity I - Zavedenie nástrojov pre podporu asistovaného života a telemedicíny je pre ostatné subjekty verejnej správy v súlade s bodom 2.1, písm. b) Stratégie financovania E</w:t>
            </w:r>
            <w:r>
              <w:t>ŠIF nasledovné:</w:t>
            </w:r>
          </w:p>
          <w:p w:rsidR="00000000" w:rsidRDefault="00AE5C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85,00 % príspevku z Európskeho fondu regionálneho rozvoja,</w:t>
            </w:r>
          </w:p>
          <w:p w:rsidR="00000000" w:rsidRDefault="00AE5C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10,00 % príspevku zo štátneho rozpočtu,</w:t>
            </w:r>
          </w:p>
          <w:p w:rsidR="00000000" w:rsidRDefault="00AE5C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5,00 % spolufinancovania žiadateľ</w:t>
            </w:r>
          </w:p>
          <w:p w:rsidR="00000000" w:rsidRDefault="00AE5CBC">
            <w:pPr>
              <w:pStyle w:val="Normlnywebov"/>
            </w:pPr>
            <w:r>
              <w:t xml:space="preserve">Územím realizácie je v zmysle podmienok oprávnenosti uvedených vo výzve pre typ Aktivity I. výlučne územie </w:t>
            </w:r>
            <w:r>
              <w:t>SR mimo Bratislavského kraja.</w:t>
            </w:r>
          </w:p>
          <w:p w:rsidR="00000000" w:rsidRDefault="00AE5CBC">
            <w:pPr>
              <w:pStyle w:val="Normlnywebov"/>
            </w:pPr>
            <w:r>
              <w:t>Predkladaná štúdia je štúdiou uskutočniteľnosti pre programové obdobie 2014 až 2020 pre Operačný program Integrovaná infraštruktúra.</w:t>
            </w:r>
          </w:p>
        </w:tc>
      </w:tr>
      <w:tr w:rsidR="00000000">
        <w:trPr>
          <w:divId w:val="82701858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Indikatívna výška finančných prostriedkov určených na realizáciu národného projektu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3 129 1</w:t>
            </w:r>
            <w:r>
              <w:t>75 EUR s DPH</w:t>
            </w:r>
          </w:p>
        </w:tc>
      </w:tr>
    </w:tbl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Dôvod</w:t>
      </w:r>
    </w:p>
    <w:p w:rsidR="00000000" w:rsidRDefault="00AE5CBC">
      <w:pPr>
        <w:pStyle w:val="Normlnywebov"/>
      </w:pPr>
      <w:r>
        <w:t> </w:t>
      </w:r>
    </w:p>
    <w:p w:rsidR="00000000" w:rsidRDefault="00AE5CBC">
      <w:pPr>
        <w:pStyle w:val="Normlnywebov"/>
      </w:pPr>
      <w:r>
        <w:rPr>
          <w:rStyle w:val="Siln"/>
        </w:rPr>
        <w:t>Naliehavosť situácie</w:t>
      </w:r>
    </w:p>
    <w:p w:rsidR="00000000" w:rsidRDefault="00AE5CBC">
      <w:pPr>
        <w:pStyle w:val="Normlnywebov"/>
      </w:pPr>
      <w:r>
        <w:lastRenderedPageBreak/>
        <w:t>Slovenská spoločnosť starne a v čoraz väčšej miere trpí chronickými chorobami. Zdravie občanov si často vyžaduje dlhodobejšiu alebo intenzívnejšiu lekársku starostlivosť.</w:t>
      </w:r>
    </w:p>
    <w:p w:rsidR="00000000" w:rsidRDefault="00AE5CBC">
      <w:pPr>
        <w:pStyle w:val="Normlnywebov"/>
      </w:pPr>
      <w:r>
        <w:t>Súčasný stav zdravia obyvateľstva SR je ovplyvňovaný nasledovnými faktormi: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Siln"/>
          <w:rFonts w:eastAsia="Times New Roman"/>
        </w:rPr>
        <w:t>Slovensko patrí z pohľadu úmrtnosti medzi krajiny, ktoré v rámci EÚ 28 majú kratšiu dĺžku života, s relatívne nižšou dynamikou zlepšovania tohto stavu</w:t>
      </w:r>
      <w:r>
        <w:rPr>
          <w:rFonts w:eastAsia="Times New Roman"/>
        </w:rPr>
        <w:t>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nepriaznivá situácia na Slov</w:t>
      </w:r>
      <w:r>
        <w:rPr>
          <w:rFonts w:eastAsia="Times New Roman"/>
        </w:rPr>
        <w:t xml:space="preserve">ensku pri porovnaní s EÚ 28 je najmä z hľadiska najdôležitejších skupín príčin smrti (podľa MKCH10) - </w:t>
      </w:r>
      <w:r>
        <w:rPr>
          <w:rStyle w:val="Siln"/>
          <w:rFonts w:eastAsia="Times New Roman"/>
        </w:rPr>
        <w:t>ochorenia kardiovaskulárneho systému, onkologické ochorenia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nepriaznivá situácia je aj z pohľadu hodnotenia zdravotného stavu - </w:t>
      </w:r>
      <w:r>
        <w:rPr>
          <w:rStyle w:val="Siln"/>
          <w:rFonts w:eastAsia="Times New Roman"/>
        </w:rPr>
        <w:t>Slovensko sa pravidelne um</w:t>
      </w:r>
      <w:r>
        <w:rPr>
          <w:rStyle w:val="Siln"/>
          <w:rFonts w:eastAsia="Times New Roman"/>
        </w:rPr>
        <w:t>iestňuje na konci rebríčka EÚ 28 z hľadiska jednotlivých konceptov zdravia</w:t>
      </w:r>
      <w:r>
        <w:rPr>
          <w:rFonts w:eastAsia="Times New Roman"/>
        </w:rPr>
        <w:t xml:space="preserve"> - veľká časť zostávajúcich rokov života je tak v prípade osôb na Slovensku poznačená nižšou kvalitou zdravia, prítomnosťou chronických ochorení alebo obmedzeniami bežných denných ak</w:t>
      </w:r>
      <w:r>
        <w:rPr>
          <w:rFonts w:eastAsia="Times New Roman"/>
        </w:rPr>
        <w:t>tivít.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nepriaznivá situácia na Slovensku je aj z hľadiska konceptu odvrátiteľnej úmrtnosti a počtu stratených rokov života.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ukazuje sa, že uvedené aspekty úmrtnosti, ako aj prevalencie a incidencie hlavných ochorení na Slovensku majú navyše dlhodobo pretrv</w:t>
      </w:r>
      <w:r>
        <w:rPr>
          <w:rFonts w:eastAsia="Times New Roman"/>
        </w:rPr>
        <w:t xml:space="preserve">ávajúce značné </w:t>
      </w:r>
      <w:r>
        <w:rPr>
          <w:rStyle w:val="Siln"/>
          <w:rFonts w:eastAsia="Times New Roman"/>
        </w:rPr>
        <w:t>regionálne disparity</w:t>
      </w:r>
      <w:r>
        <w:rPr>
          <w:rFonts w:eastAsia="Times New Roman"/>
        </w:rPr>
        <w:t>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existujú značné rozdiely v štruktúre, možnostiach, kvalite poskytovanej zdravotnej starostlivosti.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Siln"/>
          <w:rFonts w:eastAsia="Times New Roman"/>
        </w:rPr>
        <w:t>dlhodobé zadlžovanie</w:t>
      </w:r>
      <w:r>
        <w:rPr>
          <w:rFonts w:eastAsia="Times New Roman"/>
        </w:rPr>
        <w:t xml:space="preserve"> nemocníc a deficit výdavkov na verejné zdravotníctvo zaťažuje verejné financie.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negatívne sa na ver</w:t>
      </w:r>
      <w:r>
        <w:rPr>
          <w:rFonts w:eastAsia="Times New Roman"/>
        </w:rPr>
        <w:t>ejných financiách prejavujú jednak predčasné úmrtia, vysoký počet stratených rokov života, ako aj zhoršený zdravotný stav občanov , a to jednak na strane odvodov, ako aj na strane nákladov na zdravotnú starostlivosť, keďže tie výrazne narastajú s posledným</w:t>
      </w:r>
      <w:r>
        <w:rPr>
          <w:rFonts w:eastAsia="Times New Roman"/>
        </w:rPr>
        <w:t>i rokmi života a dlhodobo zdravotne deprivovanými osobami.</w:t>
      </w:r>
    </w:p>
    <w:p w:rsidR="00000000" w:rsidRDefault="00AE5CB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Siln"/>
          <w:rFonts w:eastAsia="Times New Roman"/>
        </w:rPr>
        <w:t>tlak na výdavky plynúce do zdravotníctva sa ešte zvýši v kontexte dynamicky starnúcej populácie Slovenska</w:t>
      </w:r>
      <w:r>
        <w:rPr>
          <w:rFonts w:eastAsia="Times New Roman"/>
        </w:rPr>
        <w:t>.</w:t>
      </w:r>
    </w:p>
    <w:p w:rsidR="00000000" w:rsidRDefault="00AE5CBC">
      <w:pPr>
        <w:pStyle w:val="Normlnywebov"/>
      </w:pPr>
    </w:p>
    <w:p w:rsidR="00000000" w:rsidRDefault="00AE5CBC">
      <w:pPr>
        <w:pStyle w:val="Normlnywebov"/>
      </w:pPr>
      <w:r>
        <w:rPr>
          <w:rStyle w:val="Siln"/>
        </w:rPr>
        <w:t>Uvedená skutočnosť má nasledovné vplyvy na zdravotníctvo:</w:t>
      </w:r>
    </w:p>
    <w:p w:rsidR="00000000" w:rsidRDefault="00AE5CB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potreba vysokého počtu zdravotníckych výkonov,</w:t>
      </w:r>
    </w:p>
    <w:p w:rsidR="00000000" w:rsidRDefault="00AE5CB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nedostatok zdravotníckeho personálu,</w:t>
      </w:r>
    </w:p>
    <w:p w:rsidR="00000000" w:rsidRDefault="00AE5CB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nízka efektivita poskytovania zdravotnej starostlivosti,</w:t>
      </w:r>
    </w:p>
    <w:p w:rsidR="00000000" w:rsidRDefault="00AE5CB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zvyšovanie nákladov na zdravotnú ako aj sociálnu starostlivosť,</w:t>
      </w:r>
    </w:p>
    <w:p w:rsidR="00000000" w:rsidRDefault="00AE5CBC">
      <w:pPr>
        <w:pStyle w:val="Normlnywebov"/>
      </w:pPr>
      <w:r>
        <w:rPr>
          <w:rStyle w:val="Siln"/>
        </w:rPr>
        <w:t>Na strane občanov zároveň identifikujeme nasledovné</w:t>
      </w:r>
      <w:r>
        <w:rPr>
          <w:rStyle w:val="Siln"/>
        </w:rPr>
        <w:t xml:space="preserve"> ukazovatele:</w:t>
      </w:r>
    </w:p>
    <w:p w:rsidR="00000000" w:rsidRDefault="00AE5CB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vysoká miera predítiteľných úmrtí</w:t>
      </w:r>
    </w:p>
    <w:p w:rsidR="00000000" w:rsidRDefault="00AE5CB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nízka hodnota zdravých rokov života</w:t>
      </w:r>
    </w:p>
    <w:p w:rsidR="00000000" w:rsidRDefault="00AE5CB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nemožnosť zúčastňovať sa pracovného trhu, sociálna odkázanosť a pod.</w:t>
      </w:r>
    </w:p>
    <w:p w:rsidR="00000000" w:rsidRDefault="00AE5CBC">
      <w:pPr>
        <w:pStyle w:val="Normlnywebov"/>
      </w:pPr>
      <w:r>
        <w:lastRenderedPageBreak/>
        <w:t>Vo všeobecnosti panuje názor, že začlenenie nových služieb do systémov zdravotnej starostlivosti nie je</w:t>
      </w:r>
      <w:r>
        <w:t xml:space="preserve"> jednoduchou úlohou. Jestvuje potreba eliminovať prekážky, ktoré bránia širšiemu využívaniu telemedicíny a cielene realizovať aktivity, ktorými sa vybuduje dôvera v takúto službu a jej prijatie zo strany občanov ako aj poskytovateľov zdravotnej starostlivo</w:t>
      </w:r>
      <w:r>
        <w:t>sti.</w:t>
      </w:r>
    </w:p>
    <w:p w:rsidR="00000000" w:rsidRDefault="00AE5CBC">
      <w:pPr>
        <w:pStyle w:val="Normlnywebov"/>
      </w:pPr>
      <w:r>
        <w:rPr>
          <w:rStyle w:val="Siln"/>
        </w:rPr>
        <w:t> </w:t>
      </w:r>
    </w:p>
    <w:p w:rsidR="00000000" w:rsidRDefault="00AE5CBC">
      <w:pPr>
        <w:pStyle w:val="Normlnywebov"/>
      </w:pPr>
      <w:r>
        <w:rPr>
          <w:rStyle w:val="Siln"/>
        </w:rPr>
        <w:t>Existujúci problém – návrh na zlepšenie</w:t>
      </w:r>
    </w:p>
    <w:p w:rsidR="00000000" w:rsidRDefault="00AE5CBC">
      <w:pPr>
        <w:pStyle w:val="Normlnywebov"/>
      </w:pPr>
      <w:r>
        <w:t>Klinické merania a zisťovania často nereflektujú skutočný svet, teda pacienta v skutočných podmienkach. Je preto potrebné dlhodobejšie sledovanie fyziologických signálov, efektov užívania lieku alebo konkrétne</w:t>
      </w:r>
      <w:r>
        <w:t>j terapie. Okrem toho je prítomný spoločenský trend, kde pacient chce byť súčasťou procesu starostlivosti o svoj zdravotný stav. V súčasnosti má však pacient limitované nástroje pre vlastné monitorovanie zdravotného stavu. </w:t>
      </w:r>
    </w:p>
    <w:p w:rsidR="00000000" w:rsidRDefault="00AE5CBC">
      <w:pPr>
        <w:pStyle w:val="Normlnywebov"/>
      </w:pPr>
      <w:r>
        <w:rPr>
          <w:rStyle w:val="Siln"/>
        </w:rPr>
        <w:t>Telemonitoring prezentuje službu</w:t>
      </w:r>
      <w:r>
        <w:rPr>
          <w:rStyle w:val="Siln"/>
        </w:rPr>
        <w:t>, ktorá umožňuje priebežný zber zdravotne relevantných informácií pacienta a ich odosielanie na individuálnu alebo automatizovanú expertízu.</w:t>
      </w:r>
    </w:p>
    <w:p w:rsidR="00000000" w:rsidRDefault="00AE5CBC">
      <w:pPr>
        <w:pStyle w:val="Normlnywebov"/>
      </w:pPr>
      <w:r>
        <w:t>Napriek nezanedbateľnému potenciálu telemedicíny, jej výhod a technickej vyzretosti aplikácií v súčasnosti v podmie</w:t>
      </w:r>
      <w:r>
        <w:t xml:space="preserve">nkach SR neexistuje komplexné riešenie, zamerané na zdravotné monitorovanie obyvateľov zo zdravotne rizikových skupín nástrojmi telemedicíny. </w:t>
      </w:r>
      <w:r>
        <w:rPr>
          <w:rStyle w:val="Siln"/>
        </w:rPr>
        <w:t>Prostredníctvom zavedenia nástrojov telemedicíny a pomocou prvkov na monitorovanie zdravotného stavu prostriedkami</w:t>
      </w:r>
      <w:r>
        <w:rPr>
          <w:rStyle w:val="Siln"/>
        </w:rPr>
        <w:t xml:space="preserve"> telemedicíny združenými v centrách rozmiestnených v rôznych regiónoch Slovenska vzniká potenciál na zvýšenie kvality života pacientov, zefektívnenie poskytovania zdravotnej starostlivosti a zlepšenie ukazovateľov zdravotného stavu obyvateľstva</w:t>
      </w:r>
      <w:r>
        <w:t>. Využitím t</w:t>
      </w:r>
      <w:r>
        <w:t>echnologických možností vzniká možnosť sieťovania prvkov a centrálneho zberu a vyhodnocovania dát ako aj včasnej identifikácie vzniku možných ochorení.</w:t>
      </w:r>
    </w:p>
    <w:p w:rsidR="00000000" w:rsidRDefault="00AE5CBC">
      <w:pPr>
        <w:pStyle w:val="Normlnywebov"/>
      </w:pPr>
    </w:p>
    <w:p w:rsidR="00000000" w:rsidRDefault="00AE5CBC">
      <w:pPr>
        <w:pStyle w:val="Normlnywebov"/>
      </w:pPr>
      <w:r>
        <w:t>TELEMEDICÍNA</w:t>
      </w:r>
    </w:p>
    <w:p w:rsidR="00000000" w:rsidRDefault="00AE5CBC">
      <w:pPr>
        <w:pStyle w:val="Normlnywebov"/>
      </w:pPr>
      <w:r>
        <w:t xml:space="preserve">Telemedicína je poskytovanie služieb zdravotníckej starostlivosti pomocou využívania IKT </w:t>
      </w:r>
      <w:r>
        <w:t>v situácii, keď sa zdravotnícky pracovník a pacient (alebo zdravotnícki pracovníci navzájom) nenachádzajú na tom istom mieste. Predpokladom je bezpečný prenos zdravotníckych údajov a informácií v podobe textu, zvuku, obrázkov alebo v inej forme, potrebných</w:t>
      </w:r>
      <w:r>
        <w:t xml:space="preserve"> na prevenciu, diagnostikovanie, ošetrovanie a následnú starostlivosť o pacientov.</w:t>
      </w:r>
    </w:p>
    <w:p w:rsidR="00000000" w:rsidRDefault="00AE5CBC">
      <w:pPr>
        <w:pStyle w:val="Normlnywebov"/>
      </w:pPr>
      <w:r>
        <w:t>Telemedicína zahŕňa širokú škálu služieb. Vo vzájomných hodnoteniach sa najčastejšie uvádza telerádiológia, telepatológia, teledermatológia, telekonzultácie, telemonitorovan</w:t>
      </w:r>
      <w:r>
        <w:t>ie, telechirurgia a teleoftalmológia. Medzi ďalšie možné služby patria strediská služieb po telefóne/centrá online informácií pre pacientov, konzultácie na diaľku/elektronické domáce návštevy alebo videokonferencie zdravotníckeho personálu.</w:t>
      </w:r>
    </w:p>
    <w:p w:rsidR="00000000" w:rsidRDefault="00AE5CBC">
      <w:pPr>
        <w:pStyle w:val="Normlnywebov"/>
      </w:pPr>
      <w:r>
        <w:t>Telemedicína ak</w:t>
      </w:r>
      <w:r>
        <w:t xml:space="preserve">o prostriedok pre dohľad nad zdravotným stavom pacientov pomocou vzdialeného merania a diagnostiky prostredníctvom informačných a telekomunikačných </w:t>
      </w:r>
      <w:r>
        <w:lastRenderedPageBreak/>
        <w:t>technológií umožňuje zníženie nákladov na liečbu, zlepšuje diagnostikovateľnosť, a tým v krátkodobom i dlhod</w:t>
      </w:r>
      <w:r>
        <w:t>obom horizonte prispieva k zlepšovaniu zdravotného stavu a kvality života obyvateľov.</w:t>
      </w:r>
    </w:p>
    <w:p w:rsidR="00000000" w:rsidRDefault="00AE5CBC">
      <w:pPr>
        <w:pStyle w:val="Normlnywebov"/>
      </w:pPr>
      <w:r>
        <w:rPr>
          <w:rStyle w:val="Siln"/>
        </w:rPr>
        <w:t>Cieľom projektu je rozvinúť potenciál informačných a komunikačných technológií (IKT) pre aplikácie v oblasti telemedicíny so zámerom vytvoriť prínosné využívanie nových t</w:t>
      </w:r>
      <w:r>
        <w:rPr>
          <w:rStyle w:val="Siln"/>
        </w:rPr>
        <w:t>echnológií pre zníženie doby hospitalizácie pacientov, identifikáciu skrytých ochorení ako aj priebežné sledovanie pacientov, u ktorých jestvuje ohrozenie náhleho zhoršenia zdravotného stavu.</w:t>
      </w:r>
    </w:p>
    <w:p w:rsidR="00000000" w:rsidRDefault="00AE5CBC">
      <w:pPr>
        <w:pStyle w:val="Normlnywebov"/>
      </w:pPr>
    </w:p>
    <w:p w:rsidR="00000000" w:rsidRDefault="00AE5CBC">
      <w:pPr>
        <w:pStyle w:val="Normlnywebov"/>
      </w:pPr>
      <w:r>
        <w:rPr>
          <w:rStyle w:val="Siln"/>
        </w:rPr>
        <w:t>Súlad navrhovaného projektu s cieľmi relevantných strategickýc</w:t>
      </w:r>
      <w:r>
        <w:rPr>
          <w:rStyle w:val="Siln"/>
        </w:rPr>
        <w:t>h dokumentov</w:t>
      </w:r>
    </w:p>
    <w:p w:rsidR="00000000" w:rsidRDefault="00AE5CBC">
      <w:pPr>
        <w:pStyle w:val="Normlnywebov"/>
      </w:pPr>
      <w:r>
        <w:rPr>
          <w:rStyle w:val="Zvraznenie"/>
          <w:u w:val="single"/>
        </w:rPr>
        <w:t>Národná koncepcia informatizácie verejnej správy Slovenskej republiky (2016)</w:t>
      </w:r>
    </w:p>
    <w:p w:rsidR="00000000" w:rsidRDefault="00AE5CBC">
      <w:pPr>
        <w:pStyle w:val="Normlnywebov"/>
      </w:pPr>
      <w:r>
        <w:t>Jeden z cieľov NKIVS je „</w:t>
      </w:r>
      <w:r>
        <w:rPr>
          <w:rStyle w:val="Siln"/>
        </w:rPr>
        <w:t>Zlepšenie digitálnych zručnosti a inklúziu znevýhodnených jednotlivcov do digitálneho trhu</w:t>
      </w:r>
      <w:r>
        <w:t>“, relevantný ukazovateľ pre navrhovaný projekt je „Zvýšenie používania nástrojov asistovaného života". Východisková hodnota tohto ukazovateľa nie je určená (čo tiež podčiarkuje súčasný stav minimálneho využívania týchto nástrojov) a cieľová hodnota daného</w:t>
      </w:r>
      <w:r>
        <w:t xml:space="preserve"> ukazovateľa je stanovená na 25.000. Predkladaný projekt navrhuje nasadenie 1500 ks takýchto nástrojov a zároveň vytvára platformu pre rozšírenie ich využívania jednoduchým doplnením koncových zariadení. Navrhovaný projekt na základe uvedeného je teda dôle</w:t>
      </w:r>
      <w:r>
        <w:t>žitým príspevkom pre naplnenie stanovených cieľov a teda výraznou mierou prispieva k cieľom stanoveným v Národnej koncepcii informatizácie verejnej správy Slovenskej republiky. Je možné konštatovať, že bez realizácie tohto alebo obdobného projektu, ktorý v</w:t>
      </w:r>
      <w:r>
        <w:t>ytvorí širokú platformu umožňujúcu využívania nástrojov asistovaného života a telemedicíny nie je možné realizáciou projektov s lokálnym dosahom naplniť stanovené cieľové hodnoty.</w:t>
      </w:r>
    </w:p>
    <w:p w:rsidR="00000000" w:rsidRDefault="00AE5CBC">
      <w:pPr>
        <w:pStyle w:val="Normlnywebov"/>
      </w:pPr>
    </w:p>
    <w:p w:rsidR="00000000" w:rsidRDefault="00AE5CBC">
      <w:pPr>
        <w:pStyle w:val="Normlnywebov"/>
      </w:pPr>
      <w:r>
        <w:rPr>
          <w:rStyle w:val="Zvraznenie"/>
          <w:u w:val="single"/>
        </w:rPr>
        <w:t>Strategický dokument pre oblasť rastu digitálnych služieb a oblasť infrašt</w:t>
      </w:r>
      <w:r>
        <w:rPr>
          <w:rStyle w:val="Zvraznenie"/>
          <w:u w:val="single"/>
        </w:rPr>
        <w:t>ruktúry prístupovej siete novej generácie 2014 – 2020</w:t>
      </w:r>
    </w:p>
    <w:p w:rsidR="00000000" w:rsidRDefault="00AE5CBC">
      <w:pPr>
        <w:pStyle w:val="Normlnywebov"/>
      </w:pPr>
      <w:r>
        <w:t>Predložený projekt je v súlade aj so Strategickým dokumentom pre oblasť rastu digitálnych služieb a oblasť infraštruktúry prístupovej siete novej generácie 2014 – 2020, kde prispieva k strategickému cie</w:t>
      </w:r>
      <w:r>
        <w:t xml:space="preserve">ľu </w:t>
      </w:r>
      <w:r>
        <w:rPr>
          <w:rStyle w:val="Siln"/>
        </w:rPr>
        <w:t>A. Posun k službám zameraným na zvyšovanie kvality života.</w:t>
      </w:r>
    </w:p>
    <w:p w:rsidR="00000000" w:rsidRDefault="00AE5CBC">
      <w:pPr>
        <w:pStyle w:val="Normlnywebov"/>
      </w:pPr>
      <w:r>
        <w:t>Stratégia identifikuje nástroje pre podporu inklúzie nasledovne:</w:t>
      </w:r>
    </w:p>
    <w:p w:rsidR="00000000" w:rsidRDefault="00AE5CBC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nástroje sa zameriavajú predovšetkým na prevenciu kritických situácii, ich detekciu a sociálnu a zdravotnú starostlivosť. Telemed</w:t>
      </w:r>
      <w:r>
        <w:rPr>
          <w:rFonts w:eastAsia="Times New Roman"/>
        </w:rPr>
        <w:t>icínu možno tiež zaradiť k týmto nástrojom, pretože vďaka nej možno istú časť zdravotnej starostlivosti poskytovať na diaľku, hlave monitorovanie pacientov s chronickými ochoreniami.</w:t>
      </w:r>
    </w:p>
    <w:p w:rsidR="00000000" w:rsidRDefault="00AE5CBC">
      <w:pPr>
        <w:pStyle w:val="Normlnywebov"/>
      </w:pPr>
      <w:r>
        <w:lastRenderedPageBreak/>
        <w:t xml:space="preserve">Aktivity na podporu eInklúzie realizované v tomto projekte prispievajú k </w:t>
      </w:r>
      <w:r>
        <w:t>zavádzaniu nástrojov pre podporu asistovaného života a telemedicíny (implementácia programov pre vybavenie domova občanov nástrojmi telemedicíny).</w:t>
      </w:r>
    </w:p>
    <w:p w:rsidR="00000000" w:rsidRDefault="00AE5CBC">
      <w:pPr>
        <w:pStyle w:val="Normlnywebov"/>
      </w:pPr>
      <w:r>
        <w:t>Na základe uvedeného konštatujeme, že navrhovaný projekt prispieva k dosahovaniu očakávaného výsledku strateg</w:t>
      </w:r>
      <w:r>
        <w:t>ického cieľa A. - Znevýhodnené skupiny môžu využívať nástroje pre podporu asistovaného života.</w:t>
      </w:r>
    </w:p>
    <w:p w:rsidR="00000000" w:rsidRDefault="00AE5CBC">
      <w:pPr>
        <w:pStyle w:val="Normlnywebov"/>
      </w:pPr>
      <w:r>
        <w:rPr>
          <w:rStyle w:val="Zvraznenie"/>
          <w:u w:val="single"/>
        </w:rPr>
        <w:t>Stratégia digitálnej transformácie Slovenska 2030</w:t>
      </w:r>
      <w:r>
        <w:t xml:space="preserve"> – definuje 5 oblastí, ktoré prejdú zásadnou digitálnou transformáciou. Jednou z nich je oblasť „Spoločnosť a </w:t>
      </w:r>
      <w:r>
        <w:t>vzdelávanie“ a v rámci tejto oblasti je stanovené opatrenie „Plne digitalizované zdravotníctvo“. V rámci tejto oblasti je uvedené, že inovácie v zdravotníctve ako sú nové zobrazovacie metódy, telemedicína, personálna genomika či mobilné zdravotníctvo, majú</w:t>
      </w:r>
      <w:r>
        <w:t xml:space="preserve"> veľký potenciál umožniť zdravotníkom efektívnejšie, kvalitnejšie a bezpečnejšie poskytovanie zdravotnej starostlivosti; občanom, aby prebrali kontrolu nad vlastným zdravím; aby sa zlepšila kvalita zdravotnej starostlivosti, úroveň verejného zdravia a „wel</w:t>
      </w:r>
      <w:r>
        <w:t>l-being“ zdravých občanov aj pacientov. Z uvedeného vyplýva, že navrhovaný projekt priamo svojim zameraním a aktivitami prispieva k naplneniu plánov a cieľov Stratégie digitálnej transformácie Slovenska 2030.</w:t>
      </w:r>
    </w:p>
    <w:p w:rsidR="00000000" w:rsidRDefault="00AE5CBC">
      <w:pPr>
        <w:pStyle w:val="Normlnywebov"/>
      </w:pPr>
      <w:r>
        <w:t xml:space="preserve">Navrhovaný projekt je v súlade aj s </w:t>
      </w:r>
      <w:r>
        <w:rPr>
          <w:u w:val="single"/>
        </w:rPr>
        <w:t>uznesením E</w:t>
      </w:r>
      <w:r>
        <w:rPr>
          <w:u w:val="single"/>
        </w:rPr>
        <w:t>urópskeho parlamentu</w:t>
      </w:r>
      <w:r>
        <w:rPr>
          <w:vertAlign w:val="superscript"/>
        </w:rPr>
        <w:t>[1]</w:t>
      </w:r>
      <w:r>
        <w:t>, v ktorom sa uznal význam telemedicíny.</w:t>
      </w:r>
    </w:p>
    <w:p w:rsidR="00000000" w:rsidRDefault="00AE5CBC">
      <w:pPr>
        <w:pStyle w:val="Normlnywebov"/>
      </w:pPr>
      <w:r>
        <w:t xml:space="preserve">Predkladaný projekt prispieva k naplneniu stanoviska Európskeho hospodárskeho a sociálneho výboru na tému „Oznámenie Komisie Európskemu parlamentu, Rade, Európskemu hospodárskemu a sociálnemu </w:t>
      </w:r>
      <w:r>
        <w:t>výboru a Výboru regiónov o telemedicíne v prospech pacientov, systémov zdravotnej starostlivosti a spoločnosti“ (KOM(2008) 689 v konečnom znení)</w:t>
      </w:r>
    </w:p>
    <w:p w:rsidR="00000000" w:rsidRDefault="00AE5CBC">
      <w:pPr>
        <w:pStyle w:val="Normlnywebov"/>
      </w:pPr>
      <w:r>
        <w:t>V oznámení sa predstavuje balík opatrení, ktoré musia zrealizovať členské štáty, Komisia a širší okruh zaintere</w:t>
      </w:r>
      <w:r>
        <w:t>sovaných strán. Stredobodom pozornosti sú tieto aspekty:</w:t>
      </w:r>
    </w:p>
    <w:p w:rsidR="00000000" w:rsidRDefault="00AE5C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vybudovanie dôvery občanov v telemedicínu a jej prijatie,</w:t>
      </w:r>
    </w:p>
    <w:p w:rsidR="00000000" w:rsidRDefault="00AE5C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vytvorenie právnej čistoty,</w:t>
      </w:r>
    </w:p>
    <w:p w:rsidR="00000000" w:rsidRDefault="00AE5C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vyriešenie technických otázok a zjednodušenie rozvoja trhu,</w:t>
      </w:r>
    </w:p>
    <w:p w:rsidR="00000000" w:rsidRDefault="00AE5CBC">
      <w:pPr>
        <w:pStyle w:val="Normlnywebov"/>
      </w:pPr>
      <w:r>
        <w:t>pričom navrhovaný projekt prispieva najmä k procesu v</w:t>
      </w:r>
      <w:r>
        <w:t>yriešenia technických otázok zavedenia telemedicíny, prijatia a implementácie telemedicínskych riešení do praxe a tým aj vybudovania dôvery občanov ale aj poskytovateľov zdravotnej starostlivosti v telemedícínu a vytvorenie podmienok pre rozvoj trhu poskyt</w:t>
      </w:r>
      <w:r>
        <w:t>ovania telemedicínskych služieb.</w:t>
      </w:r>
    </w:p>
    <w:p w:rsidR="00000000" w:rsidRDefault="00AE5CBC">
      <w:pPr>
        <w:pStyle w:val="Normlnywebov"/>
      </w:pPr>
      <w:r>
        <w:rPr>
          <w:rStyle w:val="Siln"/>
        </w:rPr>
        <w:t>Telemonitoring</w:t>
      </w:r>
      <w:r>
        <w:t xml:space="preserve"> – služba, ktorá umožní monitorovanie vitálnych funkcií a parametrov pacienta mimo priestorov poskytovateľov zdravotnej starostlivosti, ich zber a zasielanie k poskytovateľov zdravotnej starostlivosti, prípadn</w:t>
      </w:r>
      <w:r>
        <w:t>e aj automatickú reakciu na aktuálny stav nameraných parametrov a funkcií.</w:t>
      </w:r>
    </w:p>
    <w:p w:rsidR="00000000" w:rsidRDefault="00AE5CBC">
      <w:pPr>
        <w:pStyle w:val="Normlnywebov"/>
      </w:pPr>
      <w:r>
        <w:t>Využitie telemonitoringu je:</w:t>
      </w:r>
    </w:p>
    <w:p w:rsidR="00000000" w:rsidRDefault="00AE5CB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vo fáze prevencie,</w:t>
      </w:r>
    </w:p>
    <w:p w:rsidR="00000000" w:rsidRDefault="00AE5CB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 fáze doliečovacieho procesu,</w:t>
      </w:r>
    </w:p>
    <w:p w:rsidR="00000000" w:rsidRDefault="00AE5CB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 opatrovaní starých a osamelých ľudí.</w:t>
      </w:r>
    </w:p>
    <w:p w:rsidR="00000000" w:rsidRDefault="00AE5CBC">
      <w:pPr>
        <w:pStyle w:val="Normlnywebov"/>
      </w:pPr>
      <w:r>
        <w:t>Údaje snímané a odosielané prostredníctvom telemonitoringu:</w:t>
      </w:r>
    </w:p>
    <w:p w:rsidR="00000000" w:rsidRDefault="00AE5CBC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sú ukladané v účelovo vyhradenom úložisku dát</w:t>
      </w:r>
    </w:p>
    <w:p w:rsidR="00000000" w:rsidRDefault="00AE5CBC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sú analyzované vyhodnocovacou logikou, ktorá poskytuje okamžité informácie o anomáliách ošetrujúcemu lekárovi</w:t>
      </w:r>
    </w:p>
    <w:p w:rsidR="00000000" w:rsidRDefault="00AE5CBC">
      <w:pPr>
        <w:pStyle w:val="Normlnywebov"/>
      </w:pPr>
      <w:r>
        <w:t>Výrazné klinické prínosy je možné zabezpečiť pri sledovaní pacientov pri rôznych  ochoreniach. V </w:t>
      </w:r>
      <w:r>
        <w:t>odbornej literatúre sú zdokumentované výrazné pozitívne výsledky napríklad pri antikoagulačnej liečbe. Monitorovaním pacientov po srdcových zlyhaniach klesol počet rehospitalizácií oproti štandardnej starostlivosti o 40 percent. Pacienti, často v produktív</w:t>
      </w:r>
      <w:r>
        <w:t>nom veku, pritom naviac nemuseli neustále dochádzať do nemocnice na vyšetrenia.</w:t>
      </w:r>
    </w:p>
    <w:p w:rsidR="00000000" w:rsidRDefault="00AE5CBC">
      <w:pPr>
        <w:pStyle w:val="Normlnywebov"/>
      </w:pPr>
      <w:r>
        <w:t xml:space="preserve">[1]           Uznesenie Európskeho parlamentu </w:t>
      </w:r>
      <w:hyperlink r:id="rId5" w:history="1">
        <w:r>
          <w:rPr>
            <w:rStyle w:val="Hypertextovprepojenie"/>
          </w:rPr>
          <w:t>2006/2275(INI)</w:t>
        </w:r>
      </w:hyperlink>
      <w:r>
        <w:t xml:space="preserve"> z 23. mája 2007.</w:t>
      </w: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R</w:t>
      </w:r>
      <w:r>
        <w:rPr>
          <w:rFonts w:eastAsia="Times New Roman"/>
        </w:rPr>
        <w:t>ozsah</w:t>
      </w: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Telemonitorovanie</w:t>
      </w:r>
    </w:p>
    <w:p w:rsidR="00000000" w:rsidRDefault="00AE5CBC">
      <w:pPr>
        <w:pStyle w:val="Normlnywebov"/>
      </w:pPr>
      <w:r>
        <w:t>Telemonitorovanie je telemedicínska služba zameraná na monitorovanie zdravotného stavu pacientov na diaľku. Údaje v navrhovanom riešení sa budú získavať a zhromažďovať automaticky prostredníctvom prenosného nositeľného – tzv. „weara</w:t>
      </w:r>
      <w:r>
        <w:t>ble“ prístroja na monitorovanie zdravotného stavu[1]. V prípade potreby sa budú získavať ďalšie fyziologické údaje na základe aktívnej spolupráce s pacientom (napr. tak, že pacienti v pravidelných intervaloch zadávajú svoju hmotnosť alebo iné údaje do inte</w:t>
      </w:r>
      <w:r>
        <w:t>rnetového nástroja). Údaje, ktoré sa spracovali a poskytli príslušnému zdravotnému personálu, sa môžu využiť na optimalizáciu záznamov z monitorovania a záznamov o liečbe pacienta.</w:t>
      </w:r>
    </w:p>
    <w:p w:rsidR="00000000" w:rsidRDefault="00AE5CBC">
      <w:pPr>
        <w:pStyle w:val="Normlnywebov"/>
      </w:pPr>
      <w:r>
        <w:t xml:space="preserve">Telemonitorovanie je mimoriadne užitočné v prípade pacientov s chronickými </w:t>
      </w:r>
      <w:r>
        <w:t>ochoreniami (ako je napríklad chronická srdcová insuficiencia). Mnohých z týchto pacientov – pričom často sú to starší ľudia – treba pravidelne monitorovať z dôvodu dlhého priebehu choroby, ich zdravotného stavu a liekov, ktoré užívajú.</w:t>
      </w:r>
    </w:p>
    <w:p w:rsidR="00000000" w:rsidRDefault="00AE5CBC">
      <w:pPr>
        <w:pStyle w:val="Normlnywebov"/>
      </w:pPr>
      <w:r>
        <w:t>Telemonitorovanie p</w:t>
      </w:r>
      <w:r>
        <w:t>redstavuje podporu ako pre pacientov, tak aj pre zdravotnícky personál. Pomocou neho sa môžu určité symptómy a anomálne zdravotné parametre zistiť skôr, ako pri bežnej prehliadke alebo núdzovom ošetrení, a teda sa môžu prijať protiopatrenia pred tým, ako s</w:t>
      </w:r>
      <w:r>
        <w:t>a vyskytnú vážnejšie komplikácie. Takisto môže pacientom umožniť menej často vyhľadávať zdravotnícke zariadenia, čím sa zvýši kvalita ich života.</w:t>
      </w:r>
    </w:p>
    <w:p w:rsidR="00000000" w:rsidRDefault="00AE5CBC">
      <w:pPr>
        <w:pStyle w:val="Normlnywebov"/>
      </w:pPr>
      <w:r>
        <w:t>Telemonitorovanie bolo identifikované ako nosný nástroj navrhovaného riešenia pre svoje osobitné črty:</w:t>
      </w:r>
    </w:p>
    <w:p w:rsidR="00000000" w:rsidRDefault="00AE5CB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môže vď</w:t>
      </w:r>
      <w:r>
        <w:rPr>
          <w:rFonts w:eastAsia="Times New Roman"/>
        </w:rPr>
        <w:t>aka zníženému počtu návštev nemocnice prispieť k reorganizácii a novému prideleniu zdrojov v zdravotníctve tak, že sa zároveň zvýši efektívnosť systémov zdravotnej starostlivosti.</w:t>
      </w:r>
    </w:p>
    <w:p w:rsidR="00000000" w:rsidRDefault="00AE5CB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kvalita starostlivosti o pacientov, predovšetkým pacientov s chronickými och</w:t>
      </w:r>
      <w:r>
        <w:rPr>
          <w:rFonts w:eastAsia="Times New Roman"/>
        </w:rPr>
        <w:t>oreniami, sa vďaka telemonitorovania dokázateľne zlepšuje. Vzhľadom na fakt starnutia obyvateľstva a narastajúcej záťaže chronických chorôb môže širšie využívanie telemonitorovania mať za následok rozhodujúce výhody.</w:t>
      </w:r>
    </w:p>
    <w:p w:rsidR="00000000" w:rsidRDefault="00AE5CB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je využiteľné v prostredí ambulantnej a</w:t>
      </w:r>
      <w:r>
        <w:rPr>
          <w:rFonts w:eastAsia="Times New Roman"/>
        </w:rPr>
        <w:t>ko aj nemocničnej liečby.</w:t>
      </w:r>
    </w:p>
    <w:p w:rsidR="00000000" w:rsidRDefault="00AE5CB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vyžaduje si logickú koncepciu a partnerstvo medzi pacientmi, zdravotníckym personálom, poskytovateľmi služieb zdravotnej starostlivosti a prevádzkovateľom riešenia, aby sa zabezpečila udržateľnosť služieb.</w:t>
      </w:r>
    </w:p>
    <w:p w:rsidR="00000000" w:rsidRDefault="00AE5CB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priemyselné odvetvie v e</w:t>
      </w:r>
      <w:r>
        <w:rPr>
          <w:rFonts w:eastAsia="Times New Roman"/>
        </w:rPr>
        <w:t xml:space="preserve">urópskom priestore investuje významnou mierou do rozvoja služieb telemonitorovania, vďaka čomu aplikácie dosiahli technickú vyzretosť. Pacienti ich vo veľkej miere prijímajú s pozitívnym ohlasom. Napriek tomu telemonitorovacie služby v podmienkach SR ešte </w:t>
      </w:r>
      <w:r>
        <w:rPr>
          <w:rFonts w:eastAsia="Times New Roman"/>
        </w:rPr>
        <w:t>len čakajú na širšie použitie a skutočné začlenenie do systémov zdravotnej starostlivosti. Navrhovaný projekt má za cieľ významnou mierou prispieť práve tomuto procesu zavedením telemonitorovania v širšom rozsahu a ploche prvýkrát na Slovensku a tak vytvor</w:t>
      </w:r>
      <w:r>
        <w:rPr>
          <w:rFonts w:eastAsia="Times New Roman"/>
        </w:rPr>
        <w:t>iť exemplárnu platformu a skúsenostnú databázu pre rozvoj poskytovania ďalších telemedicínskych služieb.</w:t>
      </w:r>
    </w:p>
    <w:p w:rsidR="00000000" w:rsidRDefault="00AE5CBC">
      <w:pPr>
        <w:pStyle w:val="Normlnywebov"/>
      </w:pPr>
      <w:r>
        <w:t>[1]           Elektronické prístroje, ktoré môžu byť prenosné, môžu sa dať nosiť ako súčasť oblečenia alebo sú implantované a ktoré zhromažďujú údaje o</w:t>
      </w:r>
      <w:r>
        <w:t xml:space="preserve"> určitých zdravotných parametroch. </w:t>
      </w:r>
    </w:p>
    <w:p w:rsidR="00000000" w:rsidRDefault="00AE5CBC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Identifikácia jednotlivých aktérov</w:t>
      </w:r>
    </w:p>
    <w:p w:rsidR="00000000" w:rsidRDefault="00AE5CBC">
      <w:pPr>
        <w:pStyle w:val="Normlnywebov"/>
      </w:pPr>
      <w:r>
        <w:t xml:space="preserve">Navrhovateľom dopytového projektu je </w:t>
      </w:r>
      <w:r>
        <w:rPr>
          <w:rStyle w:val="Siln"/>
        </w:rPr>
        <w:t>Fakulta elektrotechniky a informatiky Slovenskej Technickej Univerzity</w:t>
      </w:r>
      <w:r>
        <w:t xml:space="preserve"> (ďalej tiež „FEI STU“).</w:t>
      </w:r>
    </w:p>
    <w:p w:rsidR="00000000" w:rsidRDefault="00AE5CBC">
      <w:pPr>
        <w:pStyle w:val="Normlnywebov"/>
      </w:pPr>
      <w:r>
        <w:t>FEI STU je verejná vysoká škola, ktorej cieľom je pod</w:t>
      </w:r>
      <w:r>
        <w:t>ľa  v zmysle §1 Zákona č. 131/2002 Z. z. o vysokých školách (ďalej Zákon o VŠ) a o zmene a doplnení niektorých zákonov okrem iného aj  prispievať k rozvoju vzdelanosti, vedy, kultúry a zdravia pre blaho celej spoločnosti, a tým prispievať k rozvoju vedomos</w:t>
      </w:r>
      <w:r>
        <w:t>tnej spoločnosti. Vysoká škola v zmysle vyššie uvedeného zákona napĺňa svoje poslanie aj rozvíjaním, uchovávaním a šírením poznania prostredníctvom výskumnej, vývojovej alebo umeleckej a ďalšej tvorivej činnosti a prispievaním k prevencii a liečbe ochorení</w:t>
      </w:r>
      <w:r>
        <w:t>.</w:t>
      </w:r>
    </w:p>
    <w:p w:rsidR="00000000" w:rsidRDefault="00AE5CBC">
      <w:pPr>
        <w:pStyle w:val="Normlnywebov"/>
      </w:pPr>
      <w:r>
        <w:t xml:space="preserve">V rámci FEI STU bolo v roku 2011 vytvorené a založené </w:t>
      </w:r>
      <w:r>
        <w:rPr>
          <w:rStyle w:val="Siln"/>
        </w:rPr>
        <w:t>Národné centrum telemedicínskych služieb</w:t>
      </w:r>
      <w:r>
        <w:t>, ktoré už takmer 10 rokov aktívne rieši otázky technické, technologické, výskumné i vývojové, týkajúce sa problematiky telemedicíny a asistovaného života a v u</w:t>
      </w:r>
      <w:r>
        <w:t>vedenom období poskytlo a vytvorilo v spolupráci s ďalšími odbornými kapacitami mnoho relevantných výstupov v oblasti meracích zariadení, systémov, užívateľských diagramov, dátovej bezpečnosti i kognitívnych schopností a vlastností analytických nástrojov s</w:t>
      </w:r>
      <w:r>
        <w:t>pracovania dát.</w:t>
      </w:r>
    </w:p>
    <w:p w:rsidR="00000000" w:rsidRDefault="00AE5CBC">
      <w:pPr>
        <w:pStyle w:val="Normlnywebov"/>
      </w:pPr>
      <w:r>
        <w:t xml:space="preserve">Odborným partnerom pre realizáciu navrhovaného projektu je Fakultná nemocnica s poliklinikou F. D. Roosevelta Banská Bystrica (ďalej tiež „FNsP FDR“). FNsP FDR bola zriadená </w:t>
      </w:r>
      <w:r>
        <w:lastRenderedPageBreak/>
        <w:t>Ministerstvom zdravotníctva SR ako Nemocnica s poliklinikou F.D. R</w:t>
      </w:r>
      <w:r>
        <w:t>oosevelta Banská Bystrica s účinnosťou od 1. januára 1991 a to ako štátna rozpočtová organizácia s právnou subjektivitou. S účinnosťou od 1. januára 1995 došlo k zmene zriaďovacej listiny zo štátnej rozpočtovej organizácie na štátnu príspevkovú zdravotníck</w:t>
      </w:r>
      <w:r>
        <w:t xml:space="preserve">u organizáciu. S účinnosťou od 1. 5. 2004 došlo k zmene zriaďovacej listiny z Nemocnica s poliklinikou F. D. Roosevelta Banská Bystrica na Fakultná nemocnica s poliklinikou F. D. Roosevelta Banská Bystrica. Žiadateľ má uzatvorené Memorandum o spolupráci s </w:t>
      </w:r>
      <w:r>
        <w:t>FNsP FDR pri realizácii navrhovaného projektu v oblasti zavedenia využívania nástrojov telemonitorovania do poskytovania zdravotnej starostlivosti.</w:t>
      </w:r>
      <w:r>
        <w:br/>
      </w:r>
      <w:r>
        <w:br/>
        <w:t>Predmetom činnosti FNsP FDR Banská Bystrica je poskytovanie zdravotnej starostlivosti v rozsahu primárnej o</w:t>
      </w:r>
      <w:r>
        <w:t>dbornej starostlivosti, špecializovanej ambulantnej a nemocničnej starostlivosti a niektoré vybrané formy následnej starostlivosti.</w:t>
      </w:r>
    </w:p>
    <w:p w:rsidR="00000000" w:rsidRDefault="00AE5CBC">
      <w:pPr>
        <w:pStyle w:val="Normlnywebov"/>
      </w:pPr>
      <w:r>
        <w:t>FNsP FDR je ústavným poskytovateľom zdravotnej starostlivosti. Hlavným predmetom činnosti FNsP FDR je poskytovanie komplexne</w:t>
      </w:r>
      <w:r>
        <w:t>j zdravotnej starostlivosti a služieb súvisiacich s poskytovaním zdravotnej starostlivosti tak z verejných, ako aj z ostatných zdrojov, s orientáciou na pacienta (klienta) za účelom zlepšovania jeho zdravotného stavu a kvality života.</w:t>
      </w:r>
    </w:p>
    <w:p w:rsidR="00000000" w:rsidRDefault="00AE5CBC">
      <w:pPr>
        <w:pStyle w:val="Normlnywebov"/>
      </w:pPr>
      <w:r>
        <w:t>V rámci zdravotníckej</w:t>
      </w:r>
      <w:r>
        <w:t xml:space="preserve"> časti pôsobili vo FNsP FDR k 31.12.2018 nasledujúce organizačné útvary:</w:t>
      </w:r>
    </w:p>
    <w:p w:rsidR="00000000" w:rsidRDefault="00AE5CBC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16 kliník a 7 oddelení poskytujúcich ústavnú starostlivosť,</w:t>
      </w:r>
    </w:p>
    <w:p w:rsidR="00000000" w:rsidRDefault="00AE5CBC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7 pracovísk SVaLZ vrátane Centrálneho laboratórneho komplexu (pracovsysko klinickej biochémie, pracovisko klinickej hematol</w:t>
      </w:r>
      <w:r>
        <w:rPr>
          <w:rFonts w:eastAsia="Times New Roman"/>
        </w:rPr>
        <w:t>ógie a pracovisko klinickej mikrobiológie),</w:t>
      </w:r>
    </w:p>
    <w:p w:rsidR="00000000" w:rsidRDefault="00AE5CBC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oddelenie urgentného príjmu,</w:t>
      </w:r>
    </w:p>
    <w:p w:rsidR="00000000" w:rsidRDefault="00AE5CBC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95 špecializovaných ambulancií vrátane 11 ambulancií urgentného príjmu,</w:t>
      </w:r>
    </w:p>
    <w:p w:rsidR="00000000" w:rsidRDefault="00AE5CBC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nemocničná lekáreň a verejná lekáreň „Naša lekáreň“.</w:t>
      </w:r>
    </w:p>
    <w:p w:rsidR="00000000" w:rsidRDefault="00AE5CBC">
      <w:pPr>
        <w:pStyle w:val="Normlnywebov"/>
      </w:pPr>
      <w:r>
        <w:t>FNsP FDR realizuje na základe výročných Správ o činnosti ročne cca 30.000 hospitalizačných prípadov a zrealizuje vyše 480.000 ambulantných návštev. Vzhľadom na rozsah realizovaných výkonov, ako aj charakter (lôžkové hospitalizácie ako aj ambulantná starost</w:t>
      </w:r>
      <w:r>
        <w:t>livosť) predstavuje FNSP FDR reprezentatívnu organizáciu pre pilotné zavedenie nástrojov telemonitorovania, ktorá je vhodná pre poskytnutie referenčných údajov a skúseností aj pre iných poskytovateľov zdravotnej starostlivosti. </w:t>
      </w:r>
    </w:p>
    <w:p w:rsidR="00000000" w:rsidRDefault="00AE5CBC">
      <w:pPr>
        <w:pStyle w:val="Normlnywebov"/>
      </w:pPr>
      <w:r>
        <w:t>Zámerom predkladateľa štúdi</w:t>
      </w:r>
      <w:r>
        <w:t>e je zapojiť do implementácie navrhovaného riešenia aj ďalších vhodných poskytovateľov zdravotnej starostlivosti. Za týmto účelom bude realizovať informačnú kampaň s cieľom vysvetlenia benefitov a prínosov využívania nástrojov telemedicíny aj u ďalších rep</w:t>
      </w:r>
      <w:r>
        <w:t>rezentatívnych poskytovateľov zdravotnej starostlivosti tak, aby sa zabezpečila geografická dostupnosť poskytovania služieb telemedicíny.</w:t>
      </w:r>
    </w:p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Identifikácia cieľovej znevýhodnenej skupiny</w:t>
      </w:r>
    </w:p>
    <w:p w:rsidR="00000000" w:rsidRDefault="00AE5CBC">
      <w:pPr>
        <w:pStyle w:val="Normlnywebov"/>
      </w:pPr>
      <w:r>
        <w:t>Cieľovou skupinou navrhovaného projektu je skupina:</w:t>
      </w:r>
    </w:p>
    <w:p w:rsidR="00000000" w:rsidRDefault="00AE5CBC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Style w:val="Siln"/>
          <w:rFonts w:eastAsia="Times New Roman"/>
        </w:rPr>
        <w:t>občania vo veku od 55</w:t>
      </w:r>
      <w:r>
        <w:rPr>
          <w:rStyle w:val="Siln"/>
          <w:rFonts w:eastAsia="Times New Roman"/>
        </w:rPr>
        <w:t xml:space="preserve"> do 74 rokov</w:t>
      </w:r>
    </w:p>
    <w:p w:rsidR="00000000" w:rsidRDefault="00AE5CBC">
      <w:pPr>
        <w:pStyle w:val="Normlnywebov"/>
      </w:pPr>
      <w:r>
        <w:lastRenderedPageBreak/>
        <w:t>K 31.12.2018 skupinu občanov vo veku od 55 do 74 rokov tvorilo 1 261 722 obyvateľov z toho 580 336 mužov a 681 386 žien.</w:t>
      </w:r>
    </w:p>
    <w:p w:rsidR="00000000" w:rsidRDefault="00AE5CBC">
      <w:pPr>
        <w:pStyle w:val="Normlnywebov"/>
      </w:pPr>
      <w:r>
        <w:t>Hoci telemonitorovacie zariadenia navrhované v rámci tohto projektu sú vhodné pre nasadenie v rámci širokého spektra diagn</w:t>
      </w:r>
      <w:r>
        <w:t>óz pre ďalšie vyčíslenie cieľovej skupiny je uvažované s občanmi vo veku od 55 do 74 rokov, u ktorých bolo identifikované ochorenie obehovej sústavy. V rámci štatistických zisťovaní je dostupný údaj o počte hospitalizácii na choroby obehovej sústavy vo vek</w:t>
      </w:r>
      <w:r>
        <w:t>ovej skupine  45 – 64-ročných, ktorý tvorí 51 196 hospitalizácii ročne, je možné predpokladať, že obdobný údaj je relevantný aj pre vekovú skupinu 55 – 74 rokov.</w:t>
      </w:r>
    </w:p>
    <w:p w:rsidR="00000000" w:rsidRDefault="00AE5CBC">
      <w:pPr>
        <w:pStyle w:val="Normlnywebov"/>
      </w:pPr>
      <w:r>
        <w:t>Z oblasti ambulantnej starostlivosti sú dostupné nasledovné údaje:</w:t>
      </w:r>
    </w:p>
    <w:tbl>
      <w:tblPr>
        <w:tblW w:w="4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990"/>
        <w:gridCol w:w="2554"/>
        <w:gridCol w:w="2946"/>
      </w:tblGrid>
      <w:tr w:rsidR="00000000">
        <w:trPr>
          <w:divId w:val="3280253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Veková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Pohlavie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Poč</w:t>
            </w:r>
            <w:r>
              <w:t>et osôb prijatých do sledovania kardiologických ambulancií počas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Počet sledovaných osôb v kardiologických ambulanciách na konci roka (t. j. k 31. 12.2017)</w:t>
            </w:r>
          </w:p>
        </w:tc>
      </w:tr>
      <w:tr w:rsidR="00000000">
        <w:trPr>
          <w:divId w:val="3280253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45-64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muž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12578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95246</w:t>
            </w:r>
          </w:p>
        </w:tc>
      </w:tr>
      <w:tr w:rsidR="00000000">
        <w:trPr>
          <w:divId w:val="3280253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45-64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žena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10954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82182</w:t>
            </w:r>
          </w:p>
        </w:tc>
      </w:tr>
      <w:tr w:rsidR="00000000">
        <w:trPr>
          <w:divId w:val="3280253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65-74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muž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8268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74204</w:t>
            </w:r>
          </w:p>
        </w:tc>
      </w:tr>
      <w:tr w:rsidR="00000000">
        <w:trPr>
          <w:divId w:val="3280253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65-74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žena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8251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75658</w:t>
            </w:r>
          </w:p>
        </w:tc>
      </w:tr>
    </w:tbl>
    <w:p w:rsidR="00000000" w:rsidRDefault="00AE5CBC">
      <w:pPr>
        <w:pStyle w:val="Normlnywebov"/>
      </w:pPr>
      <w:r>
        <w:t>Z uvedeného je možné konštatovať, že aritmetickým prepočtom je v kardiologických ambulanciách sledovaných cca 238 tisíc obyvateľov vo veku od 55 do 74 rokov, čo tvorí cca 19% z celkovej populácie v tejto vekovej kategórii.</w:t>
      </w:r>
    </w:p>
    <w:p w:rsidR="00000000" w:rsidRDefault="00AE5CBC">
      <w:pPr>
        <w:pStyle w:val="Normlnywebov"/>
      </w:pPr>
      <w:r>
        <w:t>Z finančného hľadiska je možné ná</w:t>
      </w:r>
      <w:r>
        <w:t>klady na zdravotnú starostlivosť vyčísliť na základe zdrojov o úhradách zdravotných poisťovní pre oblasť ochorení obehovej sústavy.</w:t>
      </w:r>
    </w:p>
    <w:p w:rsidR="00000000" w:rsidRDefault="00AE5CBC">
      <w:pPr>
        <w:pStyle w:val="Normlnywebov"/>
      </w:pPr>
      <w:r>
        <w:rPr>
          <w:rStyle w:val="Siln"/>
        </w:rPr>
        <w:t>Úhrady zdravotných poisťovní za lieky a ústavnú zdravotnú starostlivosť</w:t>
      </w:r>
    </w:p>
    <w:tbl>
      <w:tblPr>
        <w:tblW w:w="23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162"/>
      </w:tblGrid>
      <w:tr w:rsidR="00000000">
        <w:trPr>
          <w:divId w:val="1803146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Veková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Náklady v EUR</w:t>
            </w:r>
          </w:p>
        </w:tc>
      </w:tr>
      <w:tr w:rsidR="00000000">
        <w:trPr>
          <w:divId w:val="1803146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50-59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180 139 312</w:t>
            </w:r>
          </w:p>
        </w:tc>
      </w:tr>
      <w:tr w:rsidR="00000000">
        <w:trPr>
          <w:divId w:val="1803146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60-69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282 953 119</w:t>
            </w:r>
          </w:p>
        </w:tc>
      </w:tr>
      <w:tr w:rsidR="00000000">
        <w:trPr>
          <w:divId w:val="1803146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70-79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223 478 636</w:t>
            </w:r>
          </w:p>
        </w:tc>
      </w:tr>
    </w:tbl>
    <w:p w:rsidR="00000000" w:rsidRDefault="00AE5CBC">
      <w:pPr>
        <w:pStyle w:val="Normlnywebov"/>
      </w:pPr>
      <w:r>
        <w:t>V aritmetickom prepočte na cieľovú skupinu občanov 55-74 je možné uviesť, že náklady na lieky a zdravotnú starostlivosť pre občanov vo vekovej skupine 55-74 rokov sú vo výške 484,75 mil. EUR</w:t>
      </w:r>
    </w:p>
    <w:p w:rsidR="00000000" w:rsidRDefault="00AE5CBC">
      <w:pPr>
        <w:pStyle w:val="Normlnywebov"/>
      </w:pPr>
      <w:r>
        <w:rPr>
          <w:rStyle w:val="Siln"/>
        </w:rPr>
        <w:t>Úhrady zdravotných poisťovn</w:t>
      </w:r>
      <w:r>
        <w:rPr>
          <w:rStyle w:val="Siln"/>
        </w:rPr>
        <w:t>í za lieky a ústavnú zdravotnú starostlivosť – ochorenia obehovej sústavy:</w:t>
      </w:r>
    </w:p>
    <w:p w:rsidR="00000000" w:rsidRDefault="00AE5CBC">
      <w:pPr>
        <w:pStyle w:val="Normlnywebov"/>
      </w:pPr>
      <w:r>
        <w:lastRenderedPageBreak/>
        <w:t>Veková skupina 50 - 59 rokov – 28 700 tis. EUR</w:t>
      </w:r>
    </w:p>
    <w:p w:rsidR="00000000" w:rsidRDefault="00AE5CBC">
      <w:pPr>
        <w:pStyle w:val="Normlnywebov"/>
      </w:pPr>
      <w:r>
        <w:t>Veková skupina 60 - 69 rokov - 60 690 tis. EUR</w:t>
      </w:r>
    </w:p>
    <w:p w:rsidR="00000000" w:rsidRDefault="00AE5CBC">
      <w:pPr>
        <w:pStyle w:val="Normlnywebov"/>
      </w:pPr>
      <w:r>
        <w:t>Veková skupina 70 – 79 rokov – 59 930 tis. EUR</w:t>
      </w:r>
    </w:p>
    <w:p w:rsidR="00000000" w:rsidRDefault="00AE5CBC">
      <w:pPr>
        <w:pStyle w:val="Normlnywebov"/>
      </w:pPr>
      <w:r>
        <w:t>V aritmetickom prepočte na cieľovú skupi</w:t>
      </w:r>
      <w:r>
        <w:t>nu občanov 55-74 je možné uviesť, že náklady na liečbu ochorení obehovej sústavy u občanov vo vekovej skupine 55-74 rokov sú vo výške 105 mil. EUR.</w:t>
      </w:r>
    </w:p>
    <w:p w:rsidR="00000000" w:rsidRDefault="00AE5CBC">
      <w:pPr>
        <w:pStyle w:val="Normlnywebov"/>
      </w:pPr>
      <w:r>
        <w:t>Celkovo na ochorenia obehovej sústavy je ročne v zdravotníckych zariadeniach poskytnutých 1,12 mil. ošetrova</w:t>
      </w:r>
      <w:r>
        <w:t>cích dní. Vzhľadom na 19% podiel ambulantných pacientov z celkového počtu je pri využití tohto percentuálneho podielu možné konštatovať, že ročne je pre pacientov s ochorením obehovej sústavy vo vekovej skupine 55-74 rokov poskytnutých 212 800 ošetrovacích</w:t>
      </w:r>
      <w:r>
        <w:t xml:space="preserve"> dní, pričom priemerný ošetrovací čas je 6,1 dňa.</w:t>
      </w:r>
    </w:p>
    <w:p w:rsidR="00000000" w:rsidRDefault="00AE5CBC">
      <w:pPr>
        <w:pStyle w:val="Normlnywebov"/>
      </w:pPr>
      <w:r>
        <w:t>Uvedená cieľová skupina bola identifikovaná v zmysle dopytovej výzvy č. OPII-2019/7/9-DOP na predkladanie Žiadostí o poskytnutie nenávratného finančného príspevku so zameraním na „Digitálnu inklúziu.</w:t>
      </w:r>
    </w:p>
    <w:p w:rsidR="00000000" w:rsidRDefault="00AE5CBC">
      <w:pPr>
        <w:pStyle w:val="Normlnywebov"/>
      </w:pPr>
      <w:r>
        <w:t>Konkré</w:t>
      </w:r>
      <w:r>
        <w:t xml:space="preserve">tnu </w:t>
      </w:r>
      <w:r>
        <w:rPr>
          <w:rStyle w:val="Siln"/>
        </w:rPr>
        <w:t>cieľovú skupinu tvoria občania vo veku od 55 do 74 rokov, u ktorých sa nasadením nástrojov ALTM dosiahne minimálne jeden z nasledovných efektov:</w:t>
      </w:r>
    </w:p>
    <w:p w:rsidR="00000000" w:rsidRDefault="00AE5CBC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zotrvanie v prirodzenom domácom prostredí,</w:t>
      </w:r>
    </w:p>
    <w:p w:rsidR="00000000" w:rsidRDefault="00AE5CBC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skorší návrat do domáceho prostredia po hospitalizácii,</w:t>
      </w:r>
    </w:p>
    <w:p w:rsidR="00000000" w:rsidRDefault="00AE5CBC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 poskytovaní zdravotnej alebo sociálnej starostlivosti sa odstránia neproduktívne alebo vedľajšie výkony (napr. preprava pacienta za lekárom)</w:t>
      </w:r>
    </w:p>
    <w:p w:rsidR="00000000" w:rsidRDefault="00AE5CBC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dochádza k prepájaniu poskytovania sociálnych a zdravotných služieb.</w:t>
      </w:r>
    </w:p>
    <w:p w:rsidR="00000000" w:rsidRDefault="00AE5CBC">
      <w:pPr>
        <w:pStyle w:val="Normlnywebov"/>
      </w:pPr>
      <w:r>
        <w:t>Hoci navrhované telemonitorovacie zariaden</w:t>
      </w:r>
      <w:r>
        <w:t>ia ako aj celkový monitorovací systém sú vhodné a využiteľné aj pri ďalších diagnózach a vekových skupinách práve táto cieľová skupina je najviac relevantná pre nasadenie telemonitorovacích nástrojov a to z nasledovných dôvodov:</w:t>
      </w:r>
    </w:p>
    <w:p w:rsidR="00000000" w:rsidRDefault="00AE5CBC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 o vekovú skupinu, kde j</w:t>
      </w:r>
      <w:r>
        <w:rPr>
          <w:rFonts w:eastAsia="Times New Roman"/>
        </w:rPr>
        <w:t>e evidovaný vysoký počet chorobnosti na ochorenia srdcovo-cievneho systému ako aj ďalších chronických ochorení</w:t>
      </w:r>
    </w:p>
    <w:p w:rsidR="00000000" w:rsidRDefault="00AE5CBC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 o vekovú skupinu v potenciálne produktívnom veku za predpokladu, že osoba v danej vekovej kategórií netrpí ochorením alebo jej dôsledkami, kt</w:t>
      </w:r>
      <w:r>
        <w:rPr>
          <w:rFonts w:eastAsia="Times New Roman"/>
        </w:rPr>
        <w:t>oré jej znemožňujú participovať na pracovnom trhu</w:t>
      </w:r>
    </w:p>
    <w:p w:rsidR="00000000" w:rsidRDefault="00AE5CBC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 o vekovú kategóriu, ktorá je schopná aj individuálne zhodnocovať vlastné získané dáta.</w:t>
      </w:r>
    </w:p>
    <w:p w:rsidR="00000000" w:rsidRDefault="00AE5CBC">
      <w:pPr>
        <w:pStyle w:val="Normlnywebov"/>
      </w:pPr>
      <w:r>
        <w:t>Projekt prispeje k nasledovným efektom:</w:t>
      </w:r>
    </w:p>
    <w:p w:rsidR="00000000" w:rsidRDefault="00AE5CBC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skorší návrat do domáceho prostredia po hospitalizácii,</w:t>
      </w:r>
    </w:p>
    <w:p w:rsidR="00000000" w:rsidRDefault="00AE5CBC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zotrvanie v prirodz</w:t>
      </w:r>
      <w:r>
        <w:rPr>
          <w:rFonts w:eastAsia="Times New Roman"/>
        </w:rPr>
        <w:t>enom domácom prostredí, resp. zapojenie sa do pracovného života</w:t>
      </w:r>
    </w:p>
    <w:p w:rsidR="00000000" w:rsidRDefault="00AE5CBC">
      <w:pPr>
        <w:pStyle w:val="Normlnywebov"/>
      </w:pPr>
      <w:r>
        <w:lastRenderedPageBreak/>
        <w:t>Navrhovaný projekt zavedením nástrojov telemonitorovania umožní osobám zotrvať v domácom prostredí, priebežne monitorovať svoj zdravotný stav, byť pod neustálym monitoringom umožňujúcim identi</w:t>
      </w:r>
      <w:r>
        <w:t>fikáciu náhlych zhoršení zdravotného stavu.</w:t>
      </w: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Použité skratky a značky</w:t>
      </w:r>
    </w:p>
    <w:p w:rsidR="00000000" w:rsidRDefault="00AE5CBC">
      <w:pPr>
        <w:pStyle w:val="Normlnywebov"/>
      </w:pPr>
      <w:r>
        <w:t> </w:t>
      </w:r>
    </w:p>
    <w:tbl>
      <w:tblPr>
        <w:tblW w:w="48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118"/>
      </w:tblGrid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Skratka / Značka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Vysvetlenie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ALTM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(Nástroje) asistovaného života a/alebo telemedicíny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AS 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Aktuálny stav bez realizácie projektu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CBA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Nákladovo-výnosová analýza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DPH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Daň z </w:t>
            </w:r>
            <w:r>
              <w:t>pridanej hodnoty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Elektrokardiogram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ENPV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Čistá súčasná ekonomická hodnota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EÚ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Európska únia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EUR,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Mena EURO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HW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Hardvér (Hardware)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IaaS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Infrastructure as a Service (Infraštruktúra ako služba)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IKT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Informačné komunikačné technológie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Informačný systém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Informačné technológie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ISVS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IS verejnej správy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Local area network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N/A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Not applicable, neaplikovateľné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NCTL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Národné centrum telemedicínskych služieb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NPV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Čistá súčasná hodnota (Net Present Value)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OP II, OPII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Operačný program Integrovaná infraštruktúra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PaaS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Platform as a Service (Platforma ako služba)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ROI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Návratnosť investícií (Return of Investment)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SaaS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Software as a Service (Softvér ako služba)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SLA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Service level agreement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Slovenská republika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ŠU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Štúdi</w:t>
            </w:r>
            <w:r>
              <w:t>a uskutočniteľnosti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Softvér (Software)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TO 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Cieľový stav po realizácii projektu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Celkové náklady na vlastníctvo (Total Cost of Ownership)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ÚPPVII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Úrad podpredsedu vlády Slovenskej republiky pre investície a informatizáciu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ÚPVS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Ústredný portál verejnej správy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Verejné obstarávanie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Verejná správa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Z.z.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Zbierka zákonov</w:t>
            </w:r>
          </w:p>
        </w:tc>
      </w:tr>
      <w:tr w:rsidR="00000000">
        <w:trPr>
          <w:divId w:val="12307247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ŽoNFP, ŽNFP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Žiadosť o nenávratný finančný príspevok</w:t>
            </w:r>
          </w:p>
        </w:tc>
      </w:tr>
    </w:tbl>
    <w:p w:rsidR="00000000" w:rsidRDefault="00AE5CBC">
      <w:pPr>
        <w:pStyle w:val="Normlnywebov"/>
      </w:pPr>
    </w:p>
    <w:p w:rsidR="00000000" w:rsidRDefault="00AE5CBC">
      <w:pPr>
        <w:pStyle w:val="Nadpis1"/>
        <w:rPr>
          <w:rFonts w:eastAsia="Times New Roman"/>
        </w:rPr>
      </w:pPr>
      <w:r>
        <w:rPr>
          <w:rFonts w:eastAsia="Times New Roman"/>
        </w:rPr>
        <w:t>Manažérske zhrnutie</w:t>
      </w:r>
    </w:p>
    <w:p w:rsidR="00000000" w:rsidRDefault="00AE5CBC">
      <w:pPr>
        <w:pStyle w:val="Normlnywebov"/>
      </w:pPr>
      <w:r>
        <w:t>Cieľom projektu je rozvinúť potenciál informačných a </w:t>
      </w:r>
      <w:r>
        <w:t>komunikačných technológií (IKT) pre aplikácie v oblasti telemedicíny so zámerom vytvoriť prínosné využívanie nových technológií pre zníženie doby hospitalizácie pacientov, identifikáciu skrytých ochorení ako aj priebežné sledovanie pacientov, u ktorých jes</w:t>
      </w:r>
      <w:r>
        <w:t>tvuje ohrozenie náhleho zhoršenia zdravotného stavu.</w:t>
      </w:r>
    </w:p>
    <w:p w:rsidR="00000000" w:rsidRDefault="00AE5CBC">
      <w:pPr>
        <w:pStyle w:val="Normlnywebov"/>
      </w:pPr>
      <w:r>
        <w:t>Výstupom navrhovaného projektu je obstaranie 1500 ks telemonitorovacích zariadení na sledovanie biosignálov a vytvorenie informačného systému na zber a pokročilé vyhodnocovanie získaných dát, poskytovani</w:t>
      </w:r>
      <w:r>
        <w:t>e informácií o zdravotnom stave monitorovaným osobám a signalizáciu náhleho zhoršenia fyziologických indikátorov signalizujúcich náhle zhoršenie zdravotného stavu. Počas obdobia implementácie a udržateľnosti projektu sa predpokladá priemerné simultánne nas</w:t>
      </w:r>
      <w:r>
        <w:t>adenie telemonitorovacích zariadení pre približne 1000 pacientov v období 2-6 mesiacov. Ročne tak nástroje ALTM môže využiť aj viac než 2500 pacientov.</w:t>
      </w:r>
    </w:p>
    <w:p w:rsidR="00000000" w:rsidRDefault="00AE5CBC">
      <w:pPr>
        <w:pStyle w:val="Normlnywebov"/>
      </w:pPr>
      <w:r>
        <w:t>Výsledkom realizácie projektu budú dosiahnuté nasledovné efekty:</w:t>
      </w:r>
    </w:p>
    <w:p w:rsidR="00000000" w:rsidRDefault="00AE5CBC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zotrvanie v prirodzenom domácom prostre</w:t>
      </w:r>
      <w:r>
        <w:rPr>
          <w:rFonts w:eastAsia="Times New Roman"/>
        </w:rPr>
        <w:t>dí;</w:t>
      </w:r>
    </w:p>
    <w:p w:rsidR="00000000" w:rsidRDefault="00AE5CBC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skorší návrat do domáceho prostredia po hospitalizácii, resp. poskytnutí sociálnej služby;</w:t>
      </w:r>
    </w:p>
    <w:p w:rsidR="00000000" w:rsidRDefault="00AE5CBC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 poskytovaní zdravotnej alebo sociálnej starostlivosti sa odstránia neproduktívne alebo vedľajšie výkony (napr. preprava pacienta za lekárom).</w:t>
      </w: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lastRenderedPageBreak/>
        <w:t>Cieľová skupina</w:t>
      </w:r>
    </w:p>
    <w:p w:rsidR="00000000" w:rsidRDefault="00AE5CBC">
      <w:pPr>
        <w:pStyle w:val="Normlnywebov"/>
      </w:pPr>
      <w:r>
        <w:t>Primárnymi klientmi benefitujúcimi z výstupov projektu budú</w:t>
      </w:r>
    </w:p>
    <w:p w:rsidR="00000000" w:rsidRDefault="00AE5CBC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občania vo veku od 55 do 74 rokov s rizikom ochorenia, resp. ochorením obehovej sústavy</w:t>
      </w:r>
    </w:p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Hlavné východiská </w:t>
      </w:r>
    </w:p>
    <w:tbl>
      <w:tblPr>
        <w:tblW w:w="37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821"/>
      </w:tblGrid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 xml:space="preserve">Hlavné východiská pre realizáciu projektu (problémy ktoré projekt rieši alebo prispieva </w:t>
            </w:r>
            <w:r>
              <w:rPr>
                <w:rStyle w:val="Siln"/>
              </w:rPr>
              <w:t>k riešeniu)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Áno / Nie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Vysoký podiel ochorení obehovej sústavy (v porovnaní EÚ 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Vysoký podiel predíditeľných úmrtí (v porovnaní EÚ 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Nízka dosahovaná hodnota ukazovateľov zdravé roky života (v porovnaní EÚ 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Starnutie obyvateľstva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Vysoké náklady a nízka efektivita vynakladania finančných prostriedkov na poskytovanie zdravotnej starostlivosti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Nedostatok pracovníkov v zdravotníckych zariadeniach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6536850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Nedostatočné (takmer žiadne) využívanie dostupných nástrojov IKT pre zlepšenie</w:t>
            </w:r>
            <w:r>
              <w:t xml:space="preserve"> jestvujúceho nevyhovujúceho stavv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Dôvody realizácie projektu z pohľadu občana</w:t>
      </w:r>
    </w:p>
    <w:tbl>
      <w:tblPr>
        <w:tblW w:w="37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564"/>
      </w:tblGrid>
      <w:tr w:rsidR="00000000">
        <w:trPr>
          <w:divId w:val="17538898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Skrátenie hospitalizácie a zotrvanie v domácom prostredí na základe monitorovania a rozpoznávania vzniku neštandardných situácií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7538898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Zníženie počtu návštev lekára za účelom rutinných vyšetrení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17538898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Zvýšenie rozsahu dát o svojom zdravotnom stave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Dôvody realizácie projektu z pohľadu verejnej správy</w:t>
      </w:r>
    </w:p>
    <w:p w:rsidR="00000000" w:rsidRDefault="00AE5CBC">
      <w:pPr>
        <w:pStyle w:val="Normlnywebov"/>
      </w:pPr>
      <w:r>
        <w:t>V nasledujúcej tabuľke sú uvedené dôvody realizácie projektu z pohľadu VS</w:t>
      </w:r>
    </w:p>
    <w:tbl>
      <w:tblPr>
        <w:tblW w:w="37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564"/>
      </w:tblGrid>
      <w:tr w:rsidR="00000000">
        <w:trPr>
          <w:divId w:val="816053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Zníženie nák</w:t>
            </w:r>
            <w:r>
              <w:t>ladov na poskytovanie zdravotnej starostlivosti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816053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Zvýšenie efektívnosti využitia obmedzených personálnych kapacít v oblasti zdravotnej starostlivosti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816053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 xml:space="preserve">Zvýšenie produktivity obyvateľstva – zníženie počtu predíditeľných úmrtí, zvýšenie počtu zdravých </w:t>
            </w:r>
            <w:r>
              <w:t>rokov života, urýchlenie návratu do pracovného procesu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</w:tbl>
    <w:p w:rsidR="00000000" w:rsidRDefault="00AE5CBC">
      <w:pPr>
        <w:pStyle w:val="Normlnywebov"/>
      </w:pPr>
    </w:p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Motivácia</w:t>
      </w:r>
    </w:p>
    <w:p w:rsidR="00000000" w:rsidRDefault="00AE5CBC">
      <w:pPr>
        <w:pStyle w:val="Normlnywebov"/>
      </w:pPr>
      <w:r>
        <w:rPr>
          <w:rStyle w:val="Zvraznenie"/>
        </w:rPr>
        <w:t>Motivácia –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8580"/>
      </w:tblGrid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 xml:space="preserve">Navrhovaný projekt je v zmysle výzvy č. OPII-2019/7/9-DOP na predkladanie Žiadostí o poskytnutie nenávratného finančného príspevku zameraný na vybavenie občanov nástrojmi telemedicíny, integrovanie získavaných dát do procesov zdravotnej starostlivosti, na </w:t>
            </w:r>
            <w:r>
              <w:t>prevenciu kritických situácií preventívnou diagnostikou skrytých ochorení a detekciu náhleho zhoršenia zdravotného stavu.</w:t>
            </w:r>
          </w:p>
          <w:p w:rsidR="00000000" w:rsidRDefault="00AE5CBC">
            <w:pPr>
              <w:pStyle w:val="Normlnywebov"/>
            </w:pPr>
            <w:r>
              <w:t xml:space="preserve">Predmetom projektu je vytvorenie elektronickej služby spojenej s poskytnutím nástrojov telemonitorovania  a sprístupnením získavaných </w:t>
            </w:r>
            <w:r>
              <w:t>údajov poskytovateľovi zdravotnej starostlivosti ako aj monitorovanej osobe. Navrhované riešenie zabezpečí priebežný monitoring a signalizáciou neštandardných stavov ako nevyhnutnú podmienku skrátenie doby hospitalizácie (t.j. skoršieho prepustenia pacient</w:t>
            </w:r>
            <w:r>
              <w:t>ov do domáceho prostredia)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172B4D"/>
              </w:rPr>
              <w:t>Cieľ projektu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lastRenderedPageBreak/>
              <w:t>Popis cieľov projektu v súlade s jednotlivými výsledkami intervencií definovanými v OPII.</w:t>
            </w:r>
          </w:p>
          <w:p w:rsidR="00000000" w:rsidRDefault="00AE5CBC">
            <w:pPr>
              <w:pStyle w:val="Normlnywebov"/>
            </w:pPr>
            <w:r>
              <w:t xml:space="preserve">Primárny cieľom projektu v zmysle OPII je </w:t>
            </w:r>
            <w:r>
              <w:rPr>
                <w:rStyle w:val="Siln"/>
              </w:rPr>
              <w:t>Zvýšenie využívania nástrojov pre podporu asistovaného života</w:t>
            </w:r>
            <w:r>
              <w:t xml:space="preserve"> - v príslušno</w:t>
            </w:r>
            <w:r>
              <w:t>m prípade ide o zavedenie využívania nástrojov telemedicíny.</w:t>
            </w:r>
          </w:p>
          <w:p w:rsidR="00000000" w:rsidRDefault="00AE5CBC">
            <w:pPr>
              <w:pStyle w:val="Normlnywebov"/>
            </w:pPr>
            <w:r>
              <w:t>V širšom zmysle ide o zámer vytvoriť hardvérový a softvérový nástroj na polo-automatizované vyhodnocovanie stavu monitorovanej osoby s orientáciou na dohľad nad jej zdravotným stavom, napríklad p</w:t>
            </w:r>
            <w:r>
              <w:t>o prepustení z nemocničného zariadenia alebo v prípade ak hrozí riziko náhleho zhoršenia zdravotného stavu, resp. je vhodné zrealizovať dlhodobé zisťovanie fyziologických dát s cieľom vyšetriť podozrenia z ťažko diagnostikovateľných ochorení.</w:t>
            </w:r>
          </w:p>
          <w:p w:rsidR="00000000" w:rsidRDefault="00AE5CBC">
            <w:pPr>
              <w:pStyle w:val="Normlnywebov"/>
            </w:pPr>
            <w:r>
              <w:t>Výsledkom rea</w:t>
            </w:r>
            <w:r>
              <w:t>lizácie projektu v kontexte informatizácie v rámci Slovenskej republiky bude vytvorená elektronická služba „Nástroj telemonitorovania zdravotného stavu“.</w:t>
            </w:r>
          </w:p>
          <w:p w:rsidR="00000000" w:rsidRDefault="00AE5CBC">
            <w:pPr>
              <w:pStyle w:val="Normlnywebov"/>
            </w:pPr>
            <w:r>
              <w:t>Predkladateľ má uzatvorenú zmluvu o spolupráci s FNsP FDR, ktorá má kompetenciu podieľať sa na poskyto</w:t>
            </w:r>
            <w:r>
              <w:t xml:space="preserve">vaní zdravotnej starostlivosti. FNsP FDR bude ako poskytovateľ lôžkovej ako aj ambulantnej zdravotnej starostlivosti realizovať primárne nasadenie telemonitorovacích zariadení u vhodných pacientov. FNsP FDR bude tvoriť centrálny bod realizácie projektu, z </w:t>
            </w:r>
            <w:r>
              <w:t>ktorého budú nasadzované zariadenia telemonitorovania v primárnej miere.</w:t>
            </w:r>
          </w:p>
          <w:p w:rsidR="00000000" w:rsidRDefault="00AE5CBC">
            <w:pPr>
              <w:pStyle w:val="Normlnywebov"/>
            </w:pPr>
            <w:r>
              <w:t>V priebehu realizácie projektu bude žiadateľ vyvíjať informačné a vzdelávacie aktivity zamerané na zapojenie ďalších vhodných poskytovateľov zdravotnej starostlivosti z oprávneného úz</w:t>
            </w:r>
            <w:r>
              <w:t>emia realizácie projektu. Zariadeniam, ktoré prejavia záujem o využívanie služieb telemonitorovania budú poskytované telemonitorovacie zariadenia a vytvorené prístupy do monitorovacieho systému. V prípade záujmu ďalších poskytovateľov zdravotnej starostliv</w:t>
            </w:r>
            <w:r>
              <w:t>osti bude vzhľadom na flexibilnosť navrhovaného riešenia možné rozšíriť okruh zainteresovaných spolupracujúcich organizácií tak, aby bola zabezpečená dostupnosť navrhovaného riešenia na celom oprávnenom území SR.</w:t>
            </w:r>
          </w:p>
        </w:tc>
      </w:tr>
      <w:tr w:rsidR="00000000">
        <w:trPr>
          <w:divId w:val="783116499"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jc w:val="center"/>
              <w:rPr>
                <w:b/>
                <w:bCs/>
              </w:rPr>
            </w:pPr>
            <w:r>
              <w:rPr>
                <w:rStyle w:val="Siln"/>
                <w:color w:val="172B4D"/>
              </w:rPr>
              <w:t>Dopady projektu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Hlavným dopadom projektu je umožnenie poskytovateľom zdravotnej starostlivosti využívať službu telemonitorovania svojich pacientov pomocou elektronickej služby monitorovania (výsledok projektu). Tento efekt prinesie na strane poskytovateľov zdravotnej star</w:t>
            </w:r>
            <w:r>
              <w:t>ostlivosti zefektívnenie ich činnosti. Na strane pacientov prinesie efekt možnosti zotrvania v domácom prostredí ale aj umožnenie zapojenia sa do pracovného života alebo spoločenského diania. Na základe uvedeného bude predkladaný projektový zámer prispieva</w:t>
            </w:r>
            <w:r>
              <w:t>ť aj k naplneniu ďalšieho z cieľov definovaných v OPII - </w:t>
            </w:r>
            <w:r>
              <w:rPr>
                <w:rStyle w:val="Siln"/>
              </w:rPr>
              <w:t>Zvýšenie aktívneho zapojenia do ekonomického a sociálneho diania v svojom okolí.</w:t>
            </w:r>
          </w:p>
          <w:p w:rsidR="00000000" w:rsidRDefault="00AE5CBC">
            <w:pPr>
              <w:pStyle w:val="Normlnywebov"/>
            </w:pPr>
            <w:r>
              <w:t>Pri implementácii projektu plánujeme intenzívnu kampaň na predstavenie dostupnosti a podmienok prístupu k tejto službe</w:t>
            </w:r>
            <w:r>
              <w:t xml:space="preserve"> pre všetky vhodné subjekty poskytujúce zdravotnú starostlivosť prevažne občanom vo veku 55-74 rokov.</w:t>
            </w:r>
          </w:p>
          <w:p w:rsidR="00000000" w:rsidRDefault="00AE5CBC">
            <w:pPr>
              <w:pStyle w:val="Normlnywebov"/>
            </w:pPr>
            <w:r>
              <w:t>K 31.12.2018 skupinu občanov vo veku od 55 do 74 rokov tvorilo 1 261 722 obyvateľov z toho 580 336 mužov a 681 386 žien.</w:t>
            </w:r>
          </w:p>
          <w:p w:rsidR="00000000" w:rsidRDefault="00AE5CBC">
            <w:pPr>
              <w:pStyle w:val="Normlnywebov"/>
            </w:pPr>
            <w:r>
              <w:t>V rámci štatistických zisťovaní j</w:t>
            </w:r>
            <w:r>
              <w:t>e dostupný údaj o počte hospitalizácii na choroby obehovej sústavy vo vekovej skupine  45 – 64-ročných, ktorý tvorí 51 196 hospitalizácii ročne, je možné predpokladať, že obdobný údaj je relevantný aj pre vekovú skupinu 55 – 74 rokov.</w:t>
            </w:r>
          </w:p>
          <w:p w:rsidR="00000000" w:rsidRDefault="00AE5CBC">
            <w:pPr>
              <w:pStyle w:val="Normlnywebov"/>
            </w:pPr>
            <w:r>
              <w:t>V zmysle stanovenej p</w:t>
            </w:r>
            <w:r>
              <w:t>ovinnosti projektov realizujúcich typ aktivity I. je aj v prípade navrhovaného riešenia cieľom projektu zabezpečenie vzdialeného monitorovania životných funkcií, vzdialeného poskytovania zdravotnej starostlivosti s cieľom zotrvania v domácom prostredí aleb</w:t>
            </w:r>
            <w:r>
              <w:t>o návratu do domáceho prostredia, rýchlejšieho a efektívnejšieho poskytovania zdravotnej a sociálnej starostlivosti, elimináciu neproduktívnych činností.</w:t>
            </w:r>
          </w:p>
          <w:p w:rsidR="00000000" w:rsidRDefault="00AE5CBC">
            <w:pPr>
              <w:pStyle w:val="Normlnywebov"/>
            </w:pPr>
            <w:r>
              <w:t>Identifikované benefity spracovateľ kvantifikoval vhodnými  merateľnými ukazovateľmi v zmysle OPII vyj</w:t>
            </w:r>
            <w:r>
              <w:t>adrujúcimi pozitívne efekty dosahované vďaka realizácii navrhovaného projektu.</w:t>
            </w:r>
          </w:p>
          <w:p w:rsidR="00000000" w:rsidRDefault="00AE5CBC">
            <w:pPr>
              <w:pStyle w:val="Normlnywebov"/>
            </w:pPr>
            <w:r>
              <w:t>Zároveň v popisnej časti Analýzy prínosov a nákladov identifikoval ďalšie ekonomické a spoločenské benefity vznikajúce z realizácie projektu napr. v podobe počtu dní mimo hospit</w:t>
            </w:r>
            <w:r>
              <w:t>alizácie, úsporou času potrebného na presuny pacienta, lekára, alebo opatrovateľa, včasným záchytom akútneho zhoršenia zdravotného stavu a z neho vplývajúceho zníženia počtu úmrtí, resp. dní hospitalizácie a pod.</w:t>
            </w:r>
          </w:p>
        </w:tc>
      </w:tr>
      <w:tr w:rsidR="00000000">
        <w:trPr>
          <w:divId w:val="783116499"/>
          <w:cantSplit/>
        </w:trPr>
        <w:tc>
          <w:tcPr>
            <w:tcW w:w="5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Merateľné ukazovatele navrhovaného projek</w:t>
            </w:r>
            <w:r>
              <w:rPr>
                <w:rStyle w:val="Siln"/>
              </w:rPr>
              <w:t>tu (v zmysle OPII)</w:t>
            </w:r>
          </w:p>
        </w:tc>
      </w:tr>
      <w:tr w:rsidR="00000000">
        <w:trPr>
          <w:divId w:val="783116499"/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Kód</w:t>
            </w:r>
          </w:p>
        </w:tc>
        <w:tc>
          <w:tcPr>
            <w:tcW w:w="4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Merateľný ukazovateľ</w:t>
            </w:r>
          </w:p>
        </w:tc>
      </w:tr>
      <w:tr w:rsidR="00000000">
        <w:trPr>
          <w:divId w:val="783116499"/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P0195</w:t>
            </w:r>
          </w:p>
        </w:tc>
        <w:tc>
          <w:tcPr>
            <w:tcW w:w="4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Počet nástrojov asistovaného života a/alebo telemedicíny zavedených do reálneho využívania - hodnota 1000</w:t>
            </w:r>
          </w:p>
        </w:tc>
      </w:tr>
      <w:tr w:rsidR="00000000">
        <w:trPr>
          <w:divId w:val="783116499"/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P0213</w:t>
            </w:r>
          </w:p>
        </w:tc>
        <w:tc>
          <w:tcPr>
            <w:tcW w:w="4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Počet nových alebo modifikovaných elektronických služieb eGovernmentu pre potreby identifi</w:t>
            </w:r>
            <w:r>
              <w:t>kovaných znevýhodnených skupín  - hodnota 1</w:t>
            </w:r>
          </w:p>
        </w:tc>
      </w:tr>
      <w:tr w:rsidR="00000000">
        <w:trPr>
          <w:divId w:val="783116499"/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P0711</w:t>
            </w:r>
          </w:p>
        </w:tc>
        <w:tc>
          <w:tcPr>
            <w:tcW w:w="4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Zvýšenie počtu znevýhodnených jednotlivcov benefitujúcich z používania nástrojov asistovaného života, alebo participácie na digitálnom trhu - hodnota 1000 </w:t>
            </w:r>
          </w:p>
        </w:tc>
      </w:tr>
      <w:tr w:rsidR="00000000">
        <w:trPr>
          <w:divId w:val="783116499"/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P0710</w:t>
            </w:r>
          </w:p>
        </w:tc>
        <w:tc>
          <w:tcPr>
            <w:tcW w:w="4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Zvýšenie používania elektronických služieb znevýhodnenými skupinami - hodnota 1000</w:t>
            </w:r>
          </w:p>
        </w:tc>
      </w:tr>
    </w:tbl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Popis aktuálneho stavu</w:t>
      </w:r>
    </w:p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Legislatíva</w:t>
      </w:r>
    </w:p>
    <w:p w:rsidR="00000000" w:rsidRDefault="00AE5CBC">
      <w:pPr>
        <w:pStyle w:val="Normlnywebov"/>
      </w:pPr>
      <w:r>
        <w:rPr>
          <w:rStyle w:val="Zvraznenie"/>
        </w:rPr>
        <w:t>Tabuľka 4 Legislatíva – aktuálny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56"/>
        <w:gridCol w:w="156"/>
        <w:gridCol w:w="156"/>
        <w:gridCol w:w="156"/>
        <w:gridCol w:w="7850"/>
      </w:tblGrid>
      <w:tr w:rsidR="00000000">
        <w:trPr>
          <w:divId w:val="22705644"/>
          <w:cantSplit/>
        </w:trPr>
        <w:tc>
          <w:tcPr>
            <w:tcW w:w="49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22705644"/>
          <w:cantSplit/>
        </w:trPr>
        <w:tc>
          <w:tcPr>
            <w:tcW w:w="49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 pohľadu predmetu predloženého projektu je relevantná legislatíva upravujúca oblasť vysokého školstva, poskytovania zdravotnej starostlivosti v SR a základné normy v oblasti informatizácie.</w:t>
            </w:r>
          </w:p>
        </w:tc>
      </w:tr>
      <w:tr w:rsidR="00000000">
        <w:trPr>
          <w:divId w:val="22705644"/>
          <w:cantSplit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Norma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</w:p>
        </w:tc>
        <w:tc>
          <w:tcPr>
            <w:tcW w:w="4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Popis predmetu úpravy normy</w:t>
            </w:r>
          </w:p>
        </w:tc>
      </w:tr>
      <w:tr w:rsidR="00000000">
        <w:trPr>
          <w:divId w:val="22705644"/>
          <w:cantSplit/>
        </w:trPr>
        <w:tc>
          <w:tcPr>
            <w:tcW w:w="3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Zákon č. 95/2019</w:t>
            </w:r>
            <w:r>
              <w:rPr>
                <w:rStyle w:val="Siln"/>
              </w:rPr>
              <w:t xml:space="preserve"> Z. z.</w:t>
            </w:r>
          </w:p>
        </w:tc>
        <w:tc>
          <w:tcPr>
            <w:tcW w:w="4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Zákon o informačných technológiách vo verejnej správe a o zmene a doplnení niektorých zákonov, ktorý ustanovuje:</w:t>
            </w:r>
          </w:p>
          <w:p w:rsidR="00000000" w:rsidRDefault="00AE5CBC">
            <w:pPr>
              <w:pStyle w:val="Normlnywebov"/>
            </w:pPr>
            <w:r>
              <w:t>·  organizáciu správy informačných technológií verejnej správy,</w:t>
            </w:r>
          </w:p>
          <w:p w:rsidR="00000000" w:rsidRDefault="00AE5CBC">
            <w:pPr>
              <w:pStyle w:val="Normlnywebov"/>
            </w:pPr>
            <w:r>
              <w:t xml:space="preserve">·  </w:t>
            </w:r>
            <w:r>
              <w:t>práva a povinnosti orgánu vedenia a orgánu riadenia v oblasti informačných technológií verejnej správy, na ktoré sa vzťahuje tento zákon,</w:t>
            </w:r>
          </w:p>
          <w:p w:rsidR="00000000" w:rsidRDefault="00AE5CBC">
            <w:pPr>
              <w:pStyle w:val="Normlnywebov"/>
            </w:pPr>
            <w:r>
              <w:t>·  základné požiadavky kladené na informačné technológie verejnej správy a na ich správu.</w:t>
            </w:r>
          </w:p>
        </w:tc>
      </w:tr>
      <w:tr w:rsidR="00000000">
        <w:trPr>
          <w:divId w:val="22705644"/>
          <w:cantSplit/>
        </w:trPr>
        <w:tc>
          <w:tcPr>
            <w:tcW w:w="3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Zákon č. 185/2015 Z. z.</w:t>
            </w:r>
          </w:p>
        </w:tc>
        <w:tc>
          <w:tcPr>
            <w:tcW w:w="4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Autorský zákon, ktorý upravuje:</w:t>
            </w:r>
          </w:p>
          <w:p w:rsidR="00000000" w:rsidRDefault="00AE5CBC">
            <w:pPr>
              <w:pStyle w:val="Normlnywebov"/>
            </w:pPr>
            <w:r>
              <w:t xml:space="preserve">·  vzťahy, ktoré vznikajú v súvislosti s vytvorením a použitím autorského diela (ďalej len „dielo“) alebo umeleckého výkonu, v súvislosti s výrobou a použitím zvukového záznamu, audiovizuálneho záznamu alebo vysielania a v </w:t>
            </w:r>
            <w:r>
              <w:t>súvislosti s vytvorením alebo zhotovením a použitím počítačového programu alebo databázy tak, aby boli chránené práva a oprávnené záujmy autora, výkonného umelca, výrobcu zvukového záznamu, výrobcu audiovizuálneho záznamu, rozhlasového vysielateľa a televí</w:t>
            </w:r>
            <w:r>
              <w:t>zneho vysielateľa (ďalej len „vysielateľ“), autora počítačového programu, autora databázy a zhotoviteľa databázy.</w:t>
            </w:r>
          </w:p>
          <w:p w:rsidR="00000000" w:rsidRDefault="00AE5CBC">
            <w:pPr>
              <w:pStyle w:val="Normlnywebov"/>
            </w:pPr>
            <w:r>
              <w:t>·  správu práv.</w:t>
            </w:r>
          </w:p>
        </w:tc>
      </w:tr>
      <w:tr w:rsidR="00000000">
        <w:trPr>
          <w:divId w:val="22705644"/>
          <w:cantSplit/>
        </w:trPr>
        <w:tc>
          <w:tcPr>
            <w:tcW w:w="3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Zákon č. 578/2004 Z. z.</w:t>
            </w:r>
          </w:p>
        </w:tc>
        <w:tc>
          <w:tcPr>
            <w:tcW w:w="4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·  o poskytovateľoch zdravotnej starostlivosti, zdravotníckych pracovníkoch, stavovských organizá</w:t>
            </w:r>
            <w:r>
              <w:t>ciách v zdravotníctve a o zmene a  doplnení niektorých zákonov v znení neskorších predpisov.</w:t>
            </w:r>
          </w:p>
        </w:tc>
      </w:tr>
      <w:tr w:rsidR="00000000">
        <w:trPr>
          <w:divId w:val="22705644"/>
          <w:cantSplit/>
        </w:trPr>
        <w:tc>
          <w:tcPr>
            <w:tcW w:w="3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lastRenderedPageBreak/>
              <w:t>Zákon č. 18/2018 Z. z.</w:t>
            </w:r>
          </w:p>
        </w:tc>
        <w:tc>
          <w:tcPr>
            <w:tcW w:w="4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Zákon o ochrane osobných údajov a o zmene a doplnení niektorých zákonov, ktorý upravuje:</w:t>
            </w:r>
          </w:p>
          <w:p w:rsidR="00000000" w:rsidRDefault="00AE5CBC">
            <w:pPr>
              <w:pStyle w:val="Normlnywebov"/>
            </w:pPr>
            <w:r>
              <w:t xml:space="preserve">·  </w:t>
            </w:r>
            <w:r>
              <w:t>ochranu práv fyzických osôb pred neoprávneným spracúvaním ich osobných údajov,</w:t>
            </w:r>
          </w:p>
          <w:p w:rsidR="00000000" w:rsidRDefault="00AE5CBC">
            <w:pPr>
              <w:pStyle w:val="Normlnywebov"/>
            </w:pPr>
            <w:r>
              <w:t>·  práva, povinnosti a zodpovednosť pri spracúvaní osobných údajov fyzických osôb,</w:t>
            </w:r>
          </w:p>
          <w:p w:rsidR="00000000" w:rsidRDefault="00AE5CBC">
            <w:pPr>
              <w:pStyle w:val="Normlnywebov"/>
            </w:pPr>
            <w:r>
              <w:t>·  postavenie, pôsobnosť a organizáciu Úradu na ochranu osobných údajov Slovenskej republiky (</w:t>
            </w:r>
            <w:r>
              <w:t>ďalej len „úrad“).</w:t>
            </w:r>
          </w:p>
        </w:tc>
      </w:tr>
      <w:tr w:rsidR="00000000">
        <w:trPr>
          <w:divId w:val="22705644"/>
          <w:cantSplit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Architektúra</w:t>
      </w:r>
    </w:p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Biznis architektúra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000000">
        <w:trPr>
          <w:divId w:val="32513599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Súčasná biznis architektúra je založená na fyzickom pobyte pacientov na lôžku v nemocničnom zariadení, resp. v osobnom kontakte s </w:t>
            </w:r>
            <w:r>
              <w:t>lekárom alebo zdravotníckym pracovníkom. Vzhľadom na dlhodobé poskytovanie zdravotníckej starostlivosti touto formou sú uvedené úkony pomerne dobre optimalizované a jestvuje obmedzený priestor pre dosiahnutie vyššej kvality poskytovanej služby. Napriek tom</w:t>
            </w:r>
            <w:r>
              <w:t>u dosahované výsledky z uvedeného procesu nie sú optimálne a vyznačujú sa nasledovnými nedostatkami:</w:t>
            </w:r>
          </w:p>
          <w:p w:rsidR="00000000" w:rsidRDefault="00AE5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potreba vysokého počtu zdravotníckych výkonov,</w:t>
            </w:r>
          </w:p>
          <w:p w:rsidR="00000000" w:rsidRDefault="00AE5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nedostatok zdravotníckeho personálu,</w:t>
            </w:r>
          </w:p>
          <w:p w:rsidR="00000000" w:rsidRDefault="00AE5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nízka efektivita poskytovania zdravotnej starostlivosti,</w:t>
            </w:r>
          </w:p>
          <w:p w:rsidR="00000000" w:rsidRDefault="00AE5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zvyšovanie nák</w:t>
            </w:r>
            <w:r>
              <w:rPr>
                <w:rFonts w:eastAsia="Times New Roman"/>
              </w:rPr>
              <w:t>ladov na zdravotnú ako aj sociálnu starostlivosť,</w:t>
            </w:r>
          </w:p>
          <w:p w:rsidR="00000000" w:rsidRDefault="00AE5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podpriemerné dosahované efekty vo výsledných ukazovateľoch zdravotného stavu obyvateľstva</w:t>
            </w:r>
          </w:p>
          <w:p w:rsidR="00000000" w:rsidRDefault="00AE5CBC">
            <w:pPr>
              <w:pStyle w:val="Normlnywebov"/>
            </w:pPr>
            <w:r>
              <w:t>Priestor pre výrazné zlepšenie kvality služby vytvára využitie informačných technológií. Navrhovaný projekt prispiev</w:t>
            </w:r>
            <w:r>
              <w:t>a k zvýšeniu kvality poskytovania zdravotnej starostlivosti práve touto formou.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Spresnenie identifikovaných rizík:</w:t>
            </w:r>
            <w:r>
              <w:rPr>
                <w:color w:val="000000"/>
              </w:rPr>
              <w:t xml:space="preserve"> </w:t>
            </w: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Diagramy, modely, obrázky v plnom rozlíšení</w:t>
            </w:r>
          </w:p>
        </w:tc>
      </w:tr>
      <w:tr w:rsidR="00000000">
        <w:trPr>
          <w:divId w:val="32513599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lastRenderedPageBreak/>
        <w:t>Architektúra informačných systémov</w:t>
      </w:r>
    </w:p>
    <w:p w:rsidR="00000000" w:rsidRDefault="00AE5CBC">
      <w:pPr>
        <w:pStyle w:val="Normlnywebov"/>
      </w:pPr>
      <w:r>
        <w:t> </w:t>
      </w:r>
      <w:r>
        <w:t>Architektúra informačných systémov - aktuálny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7520"/>
      </w:tblGrid>
      <w:tr w:rsidR="00000000">
        <w:trPr>
          <w:divId w:val="172459850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Jestvujúce informačné systémy zaznamenávajú iba údaje získané diagnostickými vyšetreniami zdravotníckych pracovníkov v zariadeniach poskytovateľa zdravotnej starostlivosti. V súčasnosti nej</w:t>
            </w:r>
            <w:r>
              <w:t>estvuje informačný systém pre získavanie, integráciu a analytické hodnotenie dát získavaných prostredníctvom telemonitorovacích zariadení. Vytvorenie takéhoto IS je predmetom navrhovaného projektu.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Spresnenie identifikovaných rizík:</w:t>
            </w:r>
            <w:r>
              <w:t xml:space="preserve"> </w:t>
            </w: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17245985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Technologická architektúra</w:t>
      </w:r>
    </w:p>
    <w:p w:rsidR="00000000" w:rsidRDefault="00AE5CBC">
      <w:pPr>
        <w:pStyle w:val="Normlnywebov"/>
      </w:pPr>
      <w:r>
        <w:rPr>
          <w:rStyle w:val="Zvraznenie"/>
        </w:rPr>
        <w:t>Technologická architektúra - aktuálny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46"/>
      </w:tblGrid>
      <w:tr w:rsidR="00000000">
        <w:trPr>
          <w:divId w:val="189466000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  <w:p w:rsidR="00000000" w:rsidRDefault="00AE5CBC">
            <w:pPr>
              <w:pStyle w:val="Normlnywebov"/>
            </w:pPr>
          </w:p>
        </w:tc>
      </w:tr>
      <w:tr w:rsidR="00000000">
        <w:trPr>
          <w:divId w:val="189466000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color w:val="000000"/>
              </w:rPr>
              <w:t>Vzhľadom na neexistenciu informačného systému pre získavanie, integráciu a analytické hodnotenie </w:t>
            </w:r>
            <w:r>
              <w:rPr>
                <w:color w:val="000000"/>
              </w:rPr>
              <w:t>dát získavaných  prostredníctvom telemonitorovacích zariadení, nie možné popisovať technologickú architektúru. Vytvorenie takéhoto IS je predmetom navrhovaného projektu.</w:t>
            </w:r>
          </w:p>
        </w:tc>
      </w:tr>
      <w:tr w:rsidR="00000000">
        <w:trPr>
          <w:divId w:val="189466000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color w:val="000000"/>
              </w:rPr>
              <w:t>-</w:t>
            </w:r>
          </w:p>
        </w:tc>
      </w:tr>
      <w:tr w:rsidR="00000000">
        <w:trPr>
          <w:divId w:val="18946600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Spresnenie identifikovaných rizík:</w:t>
            </w:r>
            <w:r>
              <w:t> </w:t>
            </w:r>
          </w:p>
        </w:tc>
      </w:tr>
      <w:tr w:rsidR="00000000">
        <w:trPr>
          <w:divId w:val="189466000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18946600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18946600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Bezpečnostná architektúra</w:t>
      </w:r>
    </w:p>
    <w:p w:rsidR="00000000" w:rsidRDefault="00AE5CBC">
      <w:pPr>
        <w:pStyle w:val="Normlnywebov"/>
      </w:pPr>
      <w:r>
        <w:rPr>
          <w:rStyle w:val="Zvraznenie"/>
        </w:rPr>
        <w:t>Bezpečnostná architektúra - aktuálny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528"/>
      </w:tblGrid>
      <w:tr w:rsidR="00000000">
        <w:trPr>
          <w:divId w:val="131163942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lastRenderedPageBreak/>
              <w:t>Súhrnný popis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 xml:space="preserve">Vzhľadom na neexistenciu informačného systému pre získavanie, integráciu a analytické hodnotenie dát získavaných  </w:t>
            </w:r>
            <w:r>
              <w:t>prostredníctvom telemonitorovacích zariadení, ako aj skutočnosť, že doteraz neboli v predmetnej oblasti spracovávané údaje v žiadnej relevantnej miere, nie je možné popisovať bezpečnostnú architektúru.</w:t>
            </w:r>
          </w:p>
          <w:p w:rsidR="00000000" w:rsidRDefault="00AE5CBC">
            <w:pPr>
              <w:pStyle w:val="Normlnywebov"/>
            </w:pPr>
            <w:r>
              <w:rPr>
                <w:color w:val="000000"/>
              </w:rPr>
              <w:t>Súčasťou návrhu budúceho stavu riešenia sú aj prvky za</w:t>
            </w:r>
            <w:r>
              <w:rPr>
                <w:color w:val="000000"/>
              </w:rPr>
              <w:t>bezpečenia, ktorých cieľom bude ochrana údajov pred neoprávneným prístupom, manipuláciou, použitím a zverejnením (zachovanie dôvernosti údajov), ich úmyselnou alebo neúmyselnou modifikáciou.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-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Spresnenie identifikovaných rizík:</w:t>
            </w:r>
            <w:r>
              <w:t> 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131163942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Prevádzka</w:t>
      </w:r>
    </w:p>
    <w:p w:rsidR="00000000" w:rsidRDefault="00AE5CBC">
      <w:pPr>
        <w:pStyle w:val="Normlnywebov"/>
      </w:pPr>
      <w:r>
        <w:rPr>
          <w:rStyle w:val="Zvraznenie"/>
        </w:rPr>
        <w:t>Prevádzka - aktuálny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533"/>
      </w:tblGrid>
      <w:tr w:rsidR="00000000">
        <w:trPr>
          <w:divId w:val="2145465500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Vzhľadom na atribúty súčasného stavu nie je možné popisovať prevádzku existujúceho systému, keďže popisovaná agenda sa aktuálne nerieši prostredníctvom žiadneho informačného systému. Nasadenie tohto riešenia štúdia predpokladá v budúcom stave.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3366"/>
              </w:rPr>
              <w:t>-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Spresnenie identifikovaných rizík:</w:t>
            </w:r>
            <w:r>
              <w:t xml:space="preserve"> </w:t>
            </w: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214546550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  <w:color w:val="000000"/>
        </w:rPr>
        <w:t>Alternatívne riešenia</w:t>
      </w:r>
    </w:p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Alternatíva A – „Ponechanie súčasného stavu"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00000">
        <w:trPr>
          <w:divId w:val="38934998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38934998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Alternatíva pozostáva z ponechania súčasného stavu, ktorý spočíva v </w:t>
            </w:r>
            <w:r>
              <w:t>poskytovaní zdravotnej starostlivosti výlučne v prostredí nemocničných a zdravotníckych zariadení.  Využitie telemonitorovacích zariadení je ojedinelý, v minimálnej miere. Diagnostika a vyšetrenia prebiehajú výlučne zisťovaním a meraním fyziologických sign</w:t>
            </w:r>
            <w:r>
              <w:t>álov realizovaným lekárom alebo zdravotnou sestrou v ambulanciách a zariadeniach poskytovateľov zdravotnej starostlivosti. </w:t>
            </w:r>
          </w:p>
        </w:tc>
      </w:tr>
      <w:tr w:rsidR="00000000">
        <w:trPr>
          <w:divId w:val="38934998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Dôvod zamietnutia riešenia: </w:t>
            </w:r>
            <w:r>
              <w:t>V rámci danej alternatívy nejestvuje výrazný priestor pre odstránenie nízko produktívnych zdravotníckyc</w:t>
            </w:r>
            <w:r>
              <w:t>h úkonov, zefektívnenie poskytovania zdravotnej starostlivosti, zníženie obdobia hospitalizácie a zlepšenie indikátorov zdravotného stavu obyvateľov SR vzhľadom na skutočnosť, že zdravotná starostlivosť je takouto „klasickou“ formou poskytovaná dlhé obdobi</w:t>
            </w:r>
            <w:r>
              <w:t>e a prešla dlhodobým obdobím optimalizácie.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Alternatíva B – „R</w:t>
      </w:r>
      <w:r>
        <w:rPr>
          <w:rFonts w:eastAsia="Times New Roman"/>
          <w:color w:val="172B4D"/>
        </w:rPr>
        <w:t>ealizácia vlastných telemonitorovacích opatrení ad hoc jednotlivými poskytovateľmi</w:t>
      </w:r>
      <w:r>
        <w:rPr>
          <w:rFonts w:eastAsia="Times New Roman"/>
        </w:rPr>
        <w:t>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00000">
        <w:trPr>
          <w:divId w:val="131649735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31649735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Alternatíva pozostáva z </w:t>
            </w:r>
            <w:r>
              <w:t>nekoordinovaného, živelného budovania ad hoc lokálnych riešení pre poskytovanie telemonitorovacích zariadení. V rámci tejto alternatívy vzniká množstvo lokálnych, neprepojených a s vysokou pravdepodobnosťou aj nekompatibilných systémov a riešení s obmedzen</w:t>
            </w:r>
            <w:r>
              <w:t>ým dosahom. Jestvuje šanca, že v rámci heterogénneho prostredia viacerých riešení budú vytvorené originálne riešenia a funkcionality. Uvedený potenciál je však prevýšený rozdrobenosťou existencie rozdielnych platforiem pre využívanie nástrojov telemedicíny</w:t>
            </w:r>
            <w:r>
              <w:t xml:space="preserve"> na malom priestore. Navyše obmedzený objem získavaných dát neumožní, resp. výrazne obmedzí vytváranie pokročilých analytických úloh ako aj schopnosť samozdokonaľovania vytvorených informačných systémov.</w:t>
            </w:r>
          </w:p>
        </w:tc>
      </w:tr>
      <w:tr w:rsidR="00000000">
        <w:trPr>
          <w:divId w:val="131649735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Dôvod zamietnutia riešenia: </w:t>
            </w:r>
            <w:r>
              <w:t>Pre poskytovateľov zdra</w:t>
            </w:r>
            <w:r>
              <w:t>votnej starostlivosti vznikne neprívetivé prostredie, keďže sa budú musieť orientovať v individuálnych prostrediach a riešeniach. Jestvuje vysoké riziko odmietania využívania nástrojov telemedicíny a vytvorenie negatívneho vnímania myšlienky využívania tel</w:t>
            </w:r>
            <w:r>
              <w:t>emedicíny na strane poskytovateľov zdravotnej starostlivosti práve z dôvodu rozdrobenosti riešení. Uvedená alternatíva v sebe obsahuje inherentné vysoké riziko neúspechu, resp. obmedzeného uplatnenia. Umožňuje dosiahnutie čiastkových výsledkov, avšak nie c</w:t>
            </w:r>
            <w:r>
              <w:t>eloplošného zlepšenia zdravotníckych indikátorov. Vytvorenie viacerých, vzájomne konkurenčných platforiem zároveň predstavuje nízku ekonomickú efektívnosť finančných prostriedkov vynaložených na ich tvorbu.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Alternatíva C – „V</w:t>
      </w:r>
      <w:r>
        <w:rPr>
          <w:rFonts w:eastAsia="Times New Roman"/>
          <w:color w:val="172B4D"/>
        </w:rPr>
        <w:t>ytvorenie spoločnej platformy pre nasadenie telemonitorovacích zariadení v rámci územia SR</w:t>
      </w:r>
      <w:r>
        <w:rPr>
          <w:rFonts w:eastAsia="Times New Roman"/>
        </w:rPr>
        <w:t>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00000">
        <w:trPr>
          <w:divId w:val="8830581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8830581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Vytvorenie strešnej platformy a nasadenie telemonitorovacích zariadení v rámci územia SR. V rámci tejto alternatívy sa uvažuje nad vytvorením jednotn</w:t>
            </w:r>
            <w:r>
              <w:t>ého univerzálneho informačného systému pre podporu využívania nástrojov telemonitorovania ako aj ďalších vhodných odvetví telemedicíny. V tejto alternatíve sa vytvorí jednotné funkčné prostredie dostupné pre všetkých poskytovateľov zdravotnej starostlivost</w:t>
            </w:r>
            <w:r>
              <w:t>i, ktorí prejavia záujem o jeho využívanie. Poskytovatelia disponujú jednotným prostredím pre správu a analýzu dát o meraniach fyziologických signálov pacientov. Vytvorí sa prostredie s dostatkom získavaných dát pre realizáciu analytických úloh a priebežné</w:t>
            </w:r>
            <w:r>
              <w:t xml:space="preserve"> samozdokonaľovanie informačného systému.</w:t>
            </w:r>
          </w:p>
        </w:tc>
      </w:tr>
      <w:tr w:rsidR="00000000">
        <w:trPr>
          <w:divId w:val="88305810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Dôvod výberu riešenia: </w:t>
            </w:r>
            <w:r>
              <w:t>Poskytovatelia zdravotnej starostlivosti získajú jednotné prostredie pre správu a analýzu dát o meraniach fyziologických signálov pacientov. Z pohľadu ekonomickej efektívnosti ide o optimáln</w:t>
            </w:r>
            <w:r>
              <w:t>e riešenie vykazujúce vysokú dosiahnutú hodnotu vynaložených prostriedkov na jeho tvorbu. Vytvorenie jednotného systému umožní výmenu skúseností, získaných informácií a dát.</w:t>
            </w:r>
          </w:p>
        </w:tc>
      </w:tr>
    </w:tbl>
    <w:p w:rsidR="00000000" w:rsidRDefault="00AE5CBC">
      <w:pPr>
        <w:pStyle w:val="Nadpis2"/>
        <w:rPr>
          <w:rFonts w:eastAsia="Times New Roman"/>
        </w:rPr>
      </w:pPr>
      <w:r>
        <w:rPr>
          <w:rFonts w:eastAsia="Times New Roman"/>
        </w:rPr>
        <w:t>Popis budúceho stavu</w:t>
      </w:r>
    </w:p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Legislatíva</w:t>
      </w:r>
    </w:p>
    <w:p w:rsidR="00000000" w:rsidRDefault="00AE5CBC">
      <w:pPr>
        <w:pStyle w:val="Normlnywebov"/>
      </w:pPr>
      <w:r>
        <w:rPr>
          <w:rStyle w:val="Zvraznenie"/>
        </w:rPr>
        <w:t>Legislatíva -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6290"/>
      </w:tblGrid>
      <w:tr w:rsidR="00000000">
        <w:trPr>
          <w:divId w:val="176673023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color w:val="172B4D"/>
              </w:rPr>
              <w:t>Navrhované riešenie predpokladá zohľadnenie legislatívy uvedenej v súčasnom stave, a teda nevyžaduje úpravu platnej legislatívy. Navrhované riešenie bude vytvorené tak, aby bolo schopné flexibilne reagovať na prípadné zmeny legislatívy bez vynaloženia znač</w:t>
            </w:r>
            <w:r>
              <w:rPr>
                <w:color w:val="172B4D"/>
              </w:rPr>
              <w:t>ných finančných prostriedkov, resp. výrazného obmedzenia prevádzky navrhovaného riešenia. Súčasťou navrhovaného riešenia je aj taká úprava zmluvných podmienok, aby sa zamedzilo problémom typu „vendor lock-in“ ako aj neprimeraným ekonomickým nákladom na roz</w:t>
            </w:r>
            <w:r>
              <w:rPr>
                <w:color w:val="172B4D"/>
              </w:rPr>
              <w:t>šírenie zrealizovaných výstupov v budúcnosti, aktualizáciu alebo zmenu softvérovej, resp. technologickej platformy, doplneniu nových typov telemonitorovacích zariadení a pod.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Kritéria kvality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Spresnenie kritérií kvality:</w:t>
            </w:r>
            <w:r>
              <w:rPr>
                <w:color w:val="000000"/>
              </w:rPr>
              <w:t> 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N/A - nerelevantné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Spr</w:t>
            </w:r>
            <w:r>
              <w:rPr>
                <w:rStyle w:val="Siln"/>
                <w:color w:val="000000"/>
              </w:rPr>
              <w:t>esnenie identifikovaných rizík:</w:t>
            </w:r>
            <w:r>
              <w:rPr>
                <w:color w:val="000000"/>
              </w:rPr>
              <w:t> 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N/A - nerelevantné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0000"/>
              </w:rPr>
              <w:t>Diagramy, modely, obrázky v plnom rozlíšení</w:t>
            </w:r>
          </w:p>
        </w:tc>
      </w:tr>
      <w:tr w:rsidR="00000000">
        <w:trPr>
          <w:divId w:val="17667302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0000"/>
              </w:rPr>
              <w:t>N/A - nerelevantné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1238173375"/>
            </w:pPr>
            <w:r>
              <w:rPr>
                <w:rStyle w:val="Zvraznenie"/>
                <w:color w:val="000000"/>
              </w:rPr>
              <w:t>N/A - nerelevantné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t>Architektúra</w:t>
      </w:r>
    </w:p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Biznis architektúra</w:t>
      </w:r>
    </w:p>
    <w:p w:rsidR="00000000" w:rsidRDefault="00AE5CBC">
      <w:pPr>
        <w:pStyle w:val="Normlnywebov"/>
      </w:pPr>
      <w:r>
        <w:rPr>
          <w:rStyle w:val="Zvraznenie"/>
        </w:rPr>
        <w:lastRenderedPageBreak/>
        <w:t>Biznis architektúra – budúci stav</w:t>
      </w:r>
    </w:p>
    <w:tbl>
      <w:tblPr>
        <w:tblW w:w="49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6041"/>
      </w:tblGrid>
      <w:tr w:rsidR="00000000">
        <w:trPr>
          <w:divId w:val="41675649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Cieľom je vytvoriť polo-automatizované vyhodnocovanie stavu monitorovanej osoby s orientáciou na dohľad nad jej zdravotným stavom po prepustení z nemocničného zariadenia. Bude vytvorené rozhranie monitorovacieho zariadenia medzi fyzickou vrstvou (monitorin</w:t>
            </w:r>
            <w:r>
              <w:t>g biosignálov, teploty, pohybu, atmosférického tlaku a pod.) a systémovou vrstvou prenosu s ohľadom na bezdrôtový prenos a ukladanie dát do databázy. Súčasťou realizácie systému bude vzdialený prenos dát, čím vznikne možnosť nepretržitého monitoringu pacie</w:t>
            </w:r>
            <w:r>
              <w:t>nta v domácej starostlivosti, čo dopomôže k zabezpečeniu okamžitého zásahu v prípade výskytu problému či kritickej zmeny, rozoznateľnej z meraných parametrov.</w:t>
            </w:r>
          </w:p>
          <w:p w:rsidR="00000000" w:rsidRDefault="00AE5CBC">
            <w:pPr>
              <w:pStyle w:val="Normlnywebov"/>
            </w:pPr>
            <w:r>
              <w:t>Metodika merania bude navrhnutá s cieľom vytvoriť systém na zhromaždenie a spracovanie dát pomoco</w:t>
            </w:r>
            <w:r>
              <w:t xml:space="preserve">u monitorovacieho zariadenia, ako aj vytvoriť bezdrôtový prenos údajov v reálnom čase medzi monitorovacím zariadením a vzdialeným serverom, na ktorý bude môcť pristupovať odborný personál. Vo vyššej prístupovej vrstve uvedeného systému budú implementované </w:t>
            </w:r>
            <w:r>
              <w:t>algoritmy a štatistické metódy pre modelovanie a predikcie odhaľujúce faktory, ktoré budú zamerané na identifikáciu zmien signálu, charakteristických pre vyhodnocovanie stavu pacienta v domácom liečení, prípadne stavy, ktoré signalizujú zhoršenie jeho zdra</w:t>
            </w:r>
            <w:r>
              <w:t>votného stavu. Modelovanie, testovanie hypotéz a predikcie budú realizované formou in-databáz analýz, čo zabráni prenosu veľkého objemu dát medzi systémami. Systém poskytne prostriedky pre riadenie analytických úloh tak, aby bol vždy dostupný požadovaný vý</w:t>
            </w:r>
            <w:r>
              <w:t>kon pre konkrétnu analytickú úlohu. Prideľovanie potrebného výkonu bude riadené dynamicky. Výstupy modelu budú zapísané v analytickej databáze, čo umožní porovnávať výstupy rôznych modelov. Riešenie tiež umožní využiť algoritmy pre strojové učenie. Vybrané</w:t>
            </w:r>
            <w:r>
              <w:t xml:space="preserve"> analytické modely budú pravidelne počítať prediktory pre jednotlivé merania a tak poskytnú základ pre „alertovanie“/ upozornenie na kritické hodnoty v nameraných priebehoch signálu.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2127851394"/>
            </w:pPr>
          </w:p>
          <w:p w:rsidR="00000000" w:rsidRDefault="00AE5CBC">
            <w:pPr>
              <w:pStyle w:val="Normlnywebov"/>
              <w:divId w:val="2127851394"/>
            </w:pPr>
            <w:r>
              <w:rPr>
                <w:noProof/>
              </w:rPr>
              <w:drawing>
                <wp:inline distT="0" distB="0" distL="0" distR="0">
                  <wp:extent cx="5943600" cy="7419975"/>
                  <wp:effectExtent l="0" t="0" r="0" b="9525"/>
                  <wp:docPr id="1" name="Obrázok 1" descr="C:\df5d6700a05eafc89a78d2937b848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f5d6700a05eafc89a78d2937b848d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41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Kritéria kvality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Spresnenie kritérií kvality:</w:t>
            </w:r>
            <w:r>
              <w:rPr>
                <w:color w:val="003366"/>
              </w:rPr>
              <w:t xml:space="preserve"> </w:t>
            </w:r>
            <w:r>
              <w:rPr>
                <w:rStyle w:val="Zvraznenie"/>
                <w:color w:val="003366"/>
              </w:rPr>
              <w:t>-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color w:val="003366"/>
              </w:rPr>
              <w:lastRenderedPageBreak/>
              <w:t>-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Riziká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Spresnenie identifikovaných rizík:</w:t>
            </w:r>
            <w:r>
              <w:rPr>
                <w:color w:val="003366"/>
              </w:rPr>
              <w:t xml:space="preserve"> </w:t>
            </w:r>
            <w:r>
              <w:rPr>
                <w:rStyle w:val="Zvraznenie"/>
                <w:color w:val="003366"/>
              </w:rPr>
              <w:t>-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3366"/>
              </w:rPr>
              <w:t>-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  <w:color w:val="003366"/>
              </w:rPr>
              <w:t>Diagramy, modely, obrázky v plnom rozlíšení</w:t>
            </w:r>
          </w:p>
        </w:tc>
      </w:tr>
      <w:tr w:rsidR="00000000">
        <w:trPr>
          <w:divId w:val="4167564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336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  <w:color w:val="003366"/>
              </w:rPr>
              <w:t>-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Architektúra informačných systémov</w:t>
      </w:r>
    </w:p>
    <w:p w:rsidR="00000000" w:rsidRDefault="00AE5CBC">
      <w:pPr>
        <w:pStyle w:val="Normlnywebov"/>
      </w:pPr>
      <w:r>
        <w:rPr>
          <w:rStyle w:val="Zvraznenie"/>
          <w:color w:val="000000"/>
        </w:rPr>
        <w:t>Architektúra informačných systémov -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3846"/>
      </w:tblGrid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Navrhovaný systém merania je možné opísať nasledovne. Holtre určené na neinvazívne meranie ľudských biopotenciálov, prevažne EKG, budú komunikovať (odosielať dáta a prijímať požiadavky na meranie) pomocou bezdrôtového rozhrania (GPRS, 4G, WIFI alebo iné) s</w:t>
            </w:r>
            <w:r>
              <w:t xml:space="preserve">o serverom, na ktorom sa bude nachádzať softvér so zameraním na spracovanie a zobrazovanie meraných signálov. V prostredí databáz budú zosnímané dáta ukladané s čo najväčšou možnou históriou, vyhodnocované a analyzované (data-mining) za účelom odhaľovania </w:t>
            </w:r>
            <w:r>
              <w:t xml:space="preserve">porúch. Riešenie databáz umožní uchovávať i iné výsledky meraní pre odhaľovanie kauzálnych vzťahov a bude mať dostatok výkonu pre spracovanie a analýzu zozbieraných integrovaných dát. Poruchy v priebehoch signálu budú softvérovo vyhodnocované v súčinnosti </w:t>
            </w:r>
            <w:r>
              <w:t>s dohliadajúcim odborným personálom a zaznamenávané pre potreby vyhodnocovania a zdokonaľovania.</w:t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872697160"/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5943600" cy="2057400"/>
                  <wp:effectExtent l="0" t="0" r="0" b="0"/>
                  <wp:docPr id="2" name="Obrázok 2" descr="C:\3e956bfb9df64854a62b04be7f257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3e956bfb9df64854a62b04be7f257a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Navrho</w:t>
            </w:r>
            <w:r>
              <w:t>vaný koncept architektúry informačného systému na podporu telemonitorovania pre zvýšenie kvality života občanov SR pozostáva z dvoch integrálnych súčastí:</w:t>
            </w:r>
          </w:p>
          <w:p w:rsidR="00000000" w:rsidRDefault="00AE5CB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Centrálna časť – predstavuje jednotný prístup pre pacientov, lekárov, či vedeckých pracovníkov k ukla</w:t>
            </w:r>
            <w:r>
              <w:rPr>
                <w:rFonts w:eastAsia="Times New Roman"/>
              </w:rPr>
              <w:t>daným a analyzovaným údajom poskytovaným z jednotlivých telemonitorovacích zariadení. Táto časť bude pozostávať z týchto aplikačných komponentov:</w:t>
            </w:r>
          </w:p>
          <w:p w:rsidR="00000000" w:rsidRDefault="00AE5CB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Dátové úložisko</w:t>
            </w:r>
          </w:p>
          <w:p w:rsidR="00000000" w:rsidRDefault="00AE5CBC">
            <w:pPr>
              <w:pStyle w:val="Normlnywebov"/>
            </w:pPr>
            <w:r>
              <w:t>Poskytuje služby zhromaždenia a ukladania tak zosnímaných údajov z telemonitorovacích zariaden</w:t>
            </w:r>
            <w:r>
              <w:t>í, ako aj informácií a iných výsledkov analýz a meraní pre odhaľovania kauzálnych vzťahov. Súčasťou budú tiež získané informácie o poruchách v priebehoch signálu, ktoré budú následne softvérovo vyhodnocované v súčinnosti s dohliadajúcim odborným personálom</w:t>
            </w:r>
            <w:r>
              <w:t xml:space="preserve"> a zaznamenávané pre potreby vyhodnocovania a následného zdokonaľovania. Dátové úložisko bude slúžiť aj pre potreby ukladania historických údajov, či akýchkoľvek analytických výsledkov, ktoré môžu byť predmetom ďalších simulácií, či overovaní hypotéz.</w:t>
            </w:r>
          </w:p>
          <w:p w:rsidR="00000000" w:rsidRDefault="00AE5CB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Dátová integračná platforma</w:t>
            </w:r>
          </w:p>
          <w:p w:rsidR="00000000" w:rsidRDefault="00AE5CBC">
            <w:pPr>
              <w:pStyle w:val="Normlnywebov"/>
            </w:pPr>
            <w:r>
              <w:t>Dátová platforma je určená pre prepojenie so zdrojovými systémami, tj. telemonitorovacími zariadeniami, ktoré budú zabezpečovať služby pre získavanie a prenos dát. Tiež bude poskytovať rozhranie pre monitoring platformy a samotn</w:t>
            </w:r>
            <w:r>
              <w:t>ý monitoring už môže byť realizovaný prostredníctvom iného systému, napr. takého ktorý monitoruje všetky IT zdroje v organizácií. Obdobne to platí pre dátovú integráciu, kde pre začlenenie platformy môže byť využitý systém pre integráciu či orchestráciu dá</w:t>
            </w:r>
            <w:r>
              <w:t>t. Taktiež v oblasti zabezpečenia, musí byť integrovateľná s prostriedkami autentifikácie používateľov, ktoré organizácia má zavedené. </w:t>
            </w:r>
          </w:p>
          <w:p w:rsidR="00000000" w:rsidRDefault="00AE5CB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Modul analytických nástrojov a konfigurácie</w:t>
            </w:r>
          </w:p>
          <w:p w:rsidR="00000000" w:rsidRDefault="00AE5CBC">
            <w:pPr>
              <w:pStyle w:val="Normlnywebov"/>
            </w:pPr>
            <w:r>
              <w:t>Predmetný komponent bude poskytovať služby širokej škály analytických možnos</w:t>
            </w:r>
            <w:r>
              <w:t>tí pre vyhodnocovanie zozbieraných údajov. Súčasťou bude prezentačná prístupová vrstva pre PZP, ktorá umožní grafické zobrazenie výsledkov analýz, predikcií, reportov a výsledkov iných analytických úloh. Umožní ad hoc tvorbu výstupov, jednoduchú manipuláci</w:t>
            </w:r>
            <w:r>
              <w:t>u s dátami, dynamické prezeranie dát s možnosťou ich zobrazenia cez rôzne uhly pohľadu (otáčanie dimenzií), zdieľanie a publikovanie výstupov v rôznych formátoch pre interné alebo externé použitie, uloženie a export dátových množín. Zozbierané detailné dát</w:t>
            </w:r>
            <w:r>
              <w:t>a bude možno vedeckými pracovníkmi vizualizovať a sledovať namerané priebehy pre každé meranie samostatne (ako napr. transformačné algoritmy pre spracovanie a obohacovanie zozbieraných dát a informácií, typ zariadenia, informácie o skúmanej entite, času me</w:t>
            </w:r>
            <w:r>
              <w:t xml:space="preserve">rania, typu prenosu, a pod.). Po transformácii a data processingu budú tieto dáta uložené v úložisku dát, kde bude uchovaná všetka dostupná história dát. Dáta budú uložene v štruktúrovanej podobe v najnižšej možnej granularite. Namerané dáta budú uchované </w:t>
            </w:r>
            <w:r>
              <w:t>na čo najnižšej elementárnej úrovni v štruktúrovanej podobe po čo najdlhšiu možnú dobu. Poskytne technologické prostriedky a dostatok výkonu pre paralelné spracovanie analytických úloh ako napríklad analýza pomocou UNS, štatistické funkcie s využitím otvor</w:t>
            </w:r>
            <w:r>
              <w:t xml:space="preserve">ených štandardov ako napríklad „R“ a iné typy a metódy analýz. </w:t>
            </w:r>
            <w:r>
              <w:lastRenderedPageBreak/>
              <w:t>Poskytne otvorené rozhrania pre pripojenie externých pracovísk s použitím softvérových produktov i tretích strán, ktoré môžu využiť výkon a výhody komplexného integrovaného analytického systému</w:t>
            </w:r>
            <w:r>
              <w:t>.</w:t>
            </w:r>
          </w:p>
          <w:p w:rsidR="00000000" w:rsidRDefault="00AE5CBC">
            <w:pPr>
              <w:pStyle w:val="Normlnywebov"/>
            </w:pPr>
            <w:r>
              <w:t>Prezentačná prístupová vrstva pre pacienta umožní grafické zobrazenie získaných dát relevantných pre samotného pacienta v zjednodušenej vopred preddefinovanej forme.</w:t>
            </w:r>
          </w:p>
          <w:p w:rsidR="00000000" w:rsidRDefault="00AE5CBC">
            <w:pPr>
              <w:pStyle w:val="Normlnywebov"/>
            </w:pPr>
            <w:r>
              <w:t>V </w:t>
            </w:r>
            <w:r>
              <w:t>kontexte vyššie uvedeného, centrálna časť predkladaného riešenia má poskytovať tiež služby administrácie a konfigurácie všetkých nastavení systému, autentifikácie a autorizácie pre overenie používateľa a nastavenie príslušných oprávnení, ako aj logovanie v</w:t>
            </w:r>
            <w:r>
              <w:t>ykonaných používateľských aktivít.</w:t>
            </w:r>
          </w:p>
          <w:p w:rsidR="00000000" w:rsidRDefault="00AE5CBC">
            <w:pPr>
              <w:pStyle w:val="Normlnywebov"/>
            </w:pPr>
            <w:r>
              <w:t>2. Externá časť – reprezentovaná telemonitorovacím zariadením poskytujúcim služby získavania požadovaných údajov o pacientovi a jeho prostredí, ako aj ich prenos do centrálnej časti riešenia. Pod telemonitorovacím zariade</w:t>
            </w:r>
            <w:r>
              <w:t>ním rozumieme tzv. holtre, zariadenia určené na neinvazívne meranie ľudských biopotenciálov (prevažne EKG), ktoré budú komunikovať (odosielať dáta a prijímať požiadavky na meranie) pomocou bezdrôtového rozhrania (ako napr. využitím mobilných dátových sietí</w:t>
            </w:r>
            <w:r>
              <w:t xml:space="preserve"> - 4G / 5G, WIFI pripojenia na internet, v podobe IoT – z angl. „Internet of Things“, a pod.) s predmetným centrálnym riešením.</w:t>
            </w:r>
          </w:p>
          <w:p w:rsidR="00000000" w:rsidRDefault="00AE5CBC">
            <w:pPr>
              <w:pStyle w:val="Normlnywebov"/>
            </w:pPr>
            <w:r>
              <w:t>Funkcionality, ktoré by telemonitorovacie zariadenie malo poskytovať: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meranie elektrických biosignálov za účelom monitorovania s</w:t>
            </w:r>
            <w:r>
              <w:rPr>
                <w:rFonts w:eastAsia="Times New Roman"/>
              </w:rPr>
              <w:t>rdcovej činnosti (EKG, tep prostredníctvom zavedeného 2zvodového EKG) a dýchania (analytickými metódami z EKG),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dohľad nad vitálnymi funkciami (pomocou nameraných biosignálov, zisťovania pohybu),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zisťovanie náhlych pádov pacienta, prípadne jeho nehybnosť,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zisťovanie zmien teploty pacienta,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vyhodnocovanie pohybovej aktivity pacienta a jej vplyvu na merané parametre,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niekoľkodňová činnosť a vyžiadanie nabitia batérie,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automatizovaná činnosť a odosielanie dát,</w:t>
            </w:r>
          </w:p>
          <w:p w:rsidR="00000000" w:rsidRDefault="00AE5C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možnosť zmeny meraných parametrov zo strany dohlia</w:t>
            </w:r>
            <w:r>
              <w:rPr>
                <w:rFonts w:eastAsia="Times New Roman"/>
              </w:rPr>
              <w:t>dajúceho odborného personálu na diaľku</w:t>
            </w:r>
          </w:p>
          <w:p w:rsidR="00000000" w:rsidRDefault="00AE5CBC">
            <w:pPr>
              <w:pStyle w:val="Normlnywebov"/>
            </w:pPr>
            <w:r>
              <w:t>Zariadenie si nevyžaduje intenzívnu intervenciu zo strany pacienta mimo potreby nabíjania a reakcie na prípadné vzniknuté stavy ovplyvňujúce jeho funkčnosť.</w:t>
            </w:r>
          </w:p>
          <w:p w:rsidR="00000000" w:rsidRDefault="00AE5CBC">
            <w:pPr>
              <w:pStyle w:val="Normlnywebov"/>
            </w:pPr>
            <w:r>
              <w:t>Komunikácia predmetného telemonitorovacieho zariadenia s cen</w:t>
            </w:r>
            <w:r>
              <w:t>trálnym riešením bude prebiehať obojsmerne, tj. smerom k centrálnemu riešeniu budú posielané údaje zo snímačov u pacienta, ako aj notifikácie o zachytení neštandardnej situácie (ako napr. výrazná odchýlka v monitorovaných údajoch za posledné obdobie, dosia</w:t>
            </w:r>
            <w:r>
              <w:t>hnutie stanovených prahových hodnôt, chybové stavy, a pod.). Z úrovne centrálneho riešenia bude možné zo strany PZS na základe vyhodnotenia poskytnutých údajov upraviť požiadavku na rozsah, dĺžku či frekvenciu jednotlivých meraní.</w:t>
            </w:r>
          </w:p>
          <w:p w:rsidR="00000000" w:rsidRDefault="00AE5CBC">
            <w:pPr>
              <w:pStyle w:val="Normlnywebov"/>
            </w:pPr>
            <w:r>
              <w:lastRenderedPageBreak/>
              <w:t xml:space="preserve">Riešenie bude poskytovať </w:t>
            </w:r>
            <w:r>
              <w:t>vybrané anonymizované údaje vo formáte otvorených dát na štatistické spracovanie, dostupné cez OpenAPI - registrácia v centrálnom katalógu otvorených údajov. Odporúčaná kvalita publikovaného datasetu je minimálne na úrovni 3</w:t>
            </w:r>
            <w:r>
              <w:rPr>
                <w:rFonts w:ascii="Segoe UI Symbol" w:hAnsi="Segoe UI Symbol" w:cs="Segoe UI Symbol"/>
              </w:rPr>
              <w:t>★</w:t>
            </w:r>
            <w:r>
              <w:t>. Ka</w:t>
            </w:r>
            <w:r>
              <w:t>ž</w:t>
            </w:r>
            <w:r>
              <w:t>d</w:t>
            </w:r>
            <w:r>
              <w:t>á</w:t>
            </w:r>
            <w:r>
              <w:t xml:space="preserve"> d</w:t>
            </w:r>
            <w:r>
              <w:t>á</w:t>
            </w:r>
            <w:r>
              <w:t>tov</w:t>
            </w:r>
            <w:r>
              <w:t>á</w:t>
            </w:r>
            <w:r>
              <w:t xml:space="preserve"> polo</w:t>
            </w:r>
            <w:r>
              <w:t>ž</w:t>
            </w:r>
            <w:r>
              <w:t>ka uva</w:t>
            </w:r>
            <w:r>
              <w:t>ž</w:t>
            </w:r>
            <w:r>
              <w:t>ovan</w:t>
            </w:r>
            <w:r>
              <w:t>ého datasetu bude mať vo fáze analýzy a návrhu riešenia zadefinované, či tento údaj bude publikovaný vo forme OpenData.</w:t>
            </w:r>
          </w:p>
          <w:p w:rsidR="00000000" w:rsidRDefault="00AE5CBC">
            <w:pPr>
              <w:pStyle w:val="Normlnywebov"/>
            </w:pPr>
            <w:r>
              <w:t>Ako najvhodnejšie umiestnenie predmetného informačného systému (obzvlášť centrálnej časti) je odporúčané využiť cloudové infraštruktúrne</w:t>
            </w:r>
            <w:r>
              <w:t xml:space="preserve"> služby v podobe IaaS. Nasadením riešenia do prostredia cloudu je možné zabezpečiť prepojenie centrálnej časti riešenia s externou časťou v podobe služieb jednotlivých telemonitorovacích zariadení na strane pacientov, ako aj zabezpečenie prístupu k dátam p</w:t>
            </w:r>
            <w:r>
              <w:t>re pacientov, lekárov, či vedeckých pracovníkov.</w:t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12670859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2143125"/>
                  <wp:effectExtent l="0" t="0" r="0" b="9525"/>
                  <wp:docPr id="3" name="Obrázok 3" descr="C:\fba7b3454370ac299a1ae8414b94ea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ba7b3454370ac299a1ae8414b94ea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Komplexný informačný systém poskytne:</w:t>
            </w:r>
          </w:p>
          <w:p w:rsidR="00000000" w:rsidRDefault="00AE5CBC">
            <w:pPr>
              <w:pStyle w:val="Normlnywebov"/>
            </w:pPr>
            <w:r>
              <w:t>Dostatočnú flexi</w:t>
            </w:r>
            <w:r>
              <w:t>bilitu pre zapojenie monitorovacích zariadení s rozsiahlou množinou možností prenosu dát a to formou Stream Realtime prenosu až po možnosť offline prenosu formou mini batch kde minimálny interval prenosu je odhadnutý na základe skúsenosti na 15min. Komplex</w:t>
            </w:r>
            <w:r>
              <w:t>né riešenie podporí bezpečný prenos dát prostredníctvom verejnej prenosovej siete, čo umožní v budúcnosti zapojiť k systému viac meracích zariadení.</w:t>
            </w:r>
          </w:p>
          <w:p w:rsidR="00000000" w:rsidRDefault="00AE5CBC">
            <w:pPr>
              <w:pStyle w:val="Normlnywebov"/>
            </w:pPr>
            <w:r>
              <w:t>Uloženie a uchovanie dát v neštruktúrovanej podobe bude zabezpečovať systém postavený na otvorenej platform</w:t>
            </w:r>
            <w:r>
              <w:t>e. Otvorenosť platformy umožní využiť širokú škálu analytických možností pre vyhodnocovanie zozbieraných údajov. Taktiež poskytne prostredie pre uchovanie podporných meraní (vyšetrení) ako napríklad merania kontrolnej skupiny, iné typy meraní a prenos tých</w:t>
            </w:r>
            <w:r>
              <w:t>to nameraných dát z externých systémov. Kombinácia výsledkov iných „vyšetrení“ umožní odhaľovanie skrytých závislostí a bude mať pozitívny dopad na kvalitu poskytnutých výsledkov v budúcnosti.</w:t>
            </w:r>
          </w:p>
          <w:p w:rsidR="00000000" w:rsidRDefault="00AE5CBC">
            <w:pPr>
              <w:pStyle w:val="Normlnywebov"/>
            </w:pPr>
            <w:r>
              <w:t xml:space="preserve">Dohľadové centrum pre monitoring komplexného integrovaného analytického systému,  zberu dát a near-real-time vyhodnocovanie zozbieraných signálov (dát) bude mať za úlohu aktívne riadiť, administrovať, prideľovať role pre používateľov, monitorovať zber dát </w:t>
            </w:r>
            <w:r>
              <w:t>a sledovať technické parametre systému (dostupnosť zdrojov úložného priestoru, vyťaženie systému a iné).</w:t>
            </w:r>
          </w:p>
          <w:p w:rsidR="00000000" w:rsidRDefault="00AE5CBC">
            <w:pPr>
              <w:pStyle w:val="Normlnywebov"/>
            </w:pPr>
            <w:r>
              <w:t>Metadáta tvoria špecifickú časť systému, ktorá umožní analýzu komplexného integrovaného analytického systému. Dáta uložené v metadátach budú použité pr</w:t>
            </w:r>
            <w:r>
              <w:t>e riadenie celého riešenia.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Navrhované riešenie realizuje nasledovnú komunikáciu: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A: Smerovanie komunikácie:</w:t>
            </w:r>
            <w:r>
              <w:br/>
              <w:t xml:space="preserve">Navrhované riešenie spočíva v </w:t>
            </w:r>
            <w:r>
              <w:rPr>
                <w:rStyle w:val="Siln"/>
              </w:rPr>
              <w:t>obojsmernej komunikácii.</w:t>
            </w:r>
            <w:r>
              <w:t xml:space="preserve"> </w:t>
            </w:r>
            <w:r>
              <w:br/>
              <w:t>Monitorovanie klienta spočíva v zbere informácií zo snímačov u pacienta, vyhodnotení neštan</w:t>
            </w:r>
            <w:r>
              <w:t>dardnej situácie, doručení notifikácie o neštandardnej situácii. Poskytovateľ zdravotnej starostlivostí (Prijímateľ dát) na základe ich vyhodnotenia zasiela zariadeniu požiadavky na rozsah, dĺžku a frekvenciu meraní.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B: Rozsah komunikácie:</w:t>
            </w:r>
            <w:r>
              <w:br/>
              <w:t>Komunikácia medz</w:t>
            </w:r>
            <w:r>
              <w:t xml:space="preserve">i klientom a centrom/opatrovateľom prebieha formou </w:t>
            </w:r>
            <w:r>
              <w:rPr>
                <w:rStyle w:val="Siln"/>
              </w:rPr>
              <w:t xml:space="preserve">prenosu požadovaných dát z jednotlivých snímačov biosignálov. </w:t>
            </w:r>
            <w:r>
              <w:t>Z pohľadu preddefinovaných možností (signál, alarm, hlásenie, hlasový hovor, video prenos) je možné typologicky priradiť dátový prenos do kateg</w:t>
            </w:r>
            <w:r>
              <w:t>órie "hlásenie". Avšak vzhľadom na rozsah prenášaných dát, ich štruktúru a objem je dátový prenos realizovaný v navrhovanom projekte porovnateľný s rozsahom a štruktúrou video prenosu.</w:t>
            </w:r>
          </w:p>
          <w:p w:rsidR="00000000" w:rsidRDefault="00AE5CBC">
            <w:pPr>
              <w:pStyle w:val="Normlnywebov"/>
            </w:pPr>
          </w:p>
        </w:tc>
      </w:tr>
      <w:tr w:rsidR="00000000">
        <w:trPr>
          <w:divId w:val="160776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160776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lastRenderedPageBreak/>
              <w:t>Zoznam príloh.</w:t>
            </w:r>
            <w:r>
              <w:rPr>
                <w:rStyle w:val="Zvraznenie"/>
              </w:rPr>
              <w:t xml:space="preserve"> Prílohy obsahujú informácie v štruktúrovanej forme.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Odkazy na relevantné súbory. Prílohy obsahujú informácie vo forme modelov.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Technologická architektúra</w:t>
      </w:r>
    </w:p>
    <w:p w:rsidR="00000000" w:rsidRDefault="00AE5CBC">
      <w:pPr>
        <w:pStyle w:val="Normlnywebov"/>
      </w:pPr>
      <w:r>
        <w:rPr>
          <w:rStyle w:val="Zvraznenie"/>
        </w:rPr>
        <w:t>Technologická architektúra -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7186"/>
      </w:tblGrid>
      <w:tr w:rsidR="00000000">
        <w:trPr>
          <w:divId w:val="1136871337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136871337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Riešenie počíta s </w:t>
            </w:r>
            <w:r>
              <w:t>umiestnením centrálnej časti do prostredia privátneho cloudu, pričom bude prevádzkované a spravované FEI STU (konkrétne Národným centrom telemedicínskych služieb) a poskytovať dostatočný výkon pre zabezpečenie spoľahlivej prevádzky. Z tohto dôvodu neobsahu</w:t>
            </w:r>
            <w:r>
              <w:t>je príloha štúdia (analýza prínosov a nákladov) konkrétne HW prvky technologickej architektúry. Predpokladá sa využitie technologických služieb cloudu vo forme IaaS služieb poskytujúcich: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redundantné riešenie aplikačných a databázových serverov,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zabezpečenie LAN infraštruktúry,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zabezpečenie SAN infraštruktúry,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zabezpečenie konektivity prostredníctvom služieb pripojenia do špecifickej siete,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virtualizácie prostredia,</w:t>
            </w:r>
          </w:p>
          <w:p w:rsidR="00000000" w:rsidRDefault="00AE5CB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zálohovania riešenia.</w:t>
            </w:r>
          </w:p>
          <w:p w:rsidR="00000000" w:rsidRDefault="00AE5CBC">
            <w:pPr>
              <w:pStyle w:val="Normlnywebov"/>
            </w:pPr>
            <w:r>
              <w:t>Pre úspešné nasadenie a prevádzku systému sa tiež odporúča v</w:t>
            </w:r>
            <w:r>
              <w:t>yužitie nasledujúcich cloudových služieb PaaS: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Služby konfiguračného manažmentu;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Služby pre riadenie procesu nasadzovania nových verzií a ich aktualizácie;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Služby vývojového aplikačného manažmentu a testovacieho prostredia;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Správu testovacích scenárov a pl</w:t>
            </w:r>
            <w:r>
              <w:rPr>
                <w:rFonts w:eastAsia="Times New Roman"/>
              </w:rPr>
              <w:t>ánovanie testov;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Služby správy a konfigurácie softvéru;</w:t>
            </w:r>
          </w:p>
          <w:p w:rsidR="00000000" w:rsidRDefault="00AE5CBC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Služby pre dohľad nad plynulou a bezpečnou prevádzkou systému.</w:t>
            </w:r>
          </w:p>
          <w:p w:rsidR="00000000" w:rsidRDefault="00AE5CBC">
            <w:pPr>
              <w:pStyle w:val="Normlnywebov"/>
            </w:pPr>
            <w:r>
              <w:t>Nižšie je uvedené plánované využitie IaaS služieb cloudu: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630"/>
              <w:gridCol w:w="2280"/>
              <w:gridCol w:w="1482"/>
              <w:gridCol w:w="1240"/>
              <w:gridCol w:w="1557"/>
              <w:gridCol w:w="1539"/>
            </w:tblGrid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Služba z katalógu služieb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</w:t>
                  </w: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Virtuálny server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Parametre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Zvolená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Výdavky na zriadenie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Mesačný výdavok za poskytnutie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Ročný výdavok za poskytnutie služby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Architektúra CPU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x86-64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1.1.2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Počet virtuálnych jadier (vCPU)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1.1.3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Veľkosť RAM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256 GB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Systémový diskový priestor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600 GB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1.1.5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OS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Win Server 2012 R2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lastRenderedPageBreak/>
                    <w:t>ID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Služba z katalógu služieb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1.2</w:t>
                  </w: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Diskový priestor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Parametre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Zvolená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Výdavky na zriadenie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Mesačný výdavok za poskytnutie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Ročný výdavok za poskytnutie služby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1.2.1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Diskový priestor TIER 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1-2000 GB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Služba z katalógu služieb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1.3</w:t>
                  </w: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Služby pripojenia do špecifickej siete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Parametre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Zvolená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Výdavky na zriadenie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Mesačný výdavok za poskytnutie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Ročný výdavok za poskytnutie služby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1.3.1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Pripojenie siete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Internet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Služba z katalógu služieb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1.4</w:t>
                  </w: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Sieťové služby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Parametre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Zvolená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Výdavky na zriadenie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Mesačný výdavok za poskytnutie služby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Ročný výdavok za poskytnutie služby</w:t>
                  </w: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1.4.1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Vytvorenie preddefinovaného sieťového modelu a základných FW pravidiel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Nastavené pravidlá pre prostredia: DEV, TEST, PROD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1.4.2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Vytvorenie FW pravidiel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1.4.3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Pridelenie virtuálnej IP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  <w:tr w:rsidR="00000000">
              <w:trPr>
                <w:divId w:val="1841577438"/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0000" w:rsidRDefault="00AE5CBC"/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1.4.4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Vytvorenie load balancing pravidiel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</w:p>
              </w:tc>
            </w:tr>
          </w:tbl>
          <w:p w:rsidR="00000000" w:rsidRDefault="00AE5CBC">
            <w:pPr>
              <w:rPr>
                <w:rFonts w:eastAsia="Times New Roman"/>
              </w:rPr>
            </w:pPr>
          </w:p>
        </w:tc>
      </w:tr>
      <w:tr w:rsidR="00000000">
        <w:trPr>
          <w:divId w:val="1136871337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br/>
            </w:r>
            <w:r>
              <w:t>V rámci realizácie projektu sa popri vytvorení a nasadení príslušného IS navrhuje obstaranie 1500 ks nositeľných zariadení s nízkym prahom invazívnosti merania bez vloženia obmedzení pri každodenných činnostiach. Zariadenie bude zabezpečovať nasledovné fun</w:t>
            </w:r>
            <w:r>
              <w:t xml:space="preserve">kcionality: 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meranie elektrických biosignálov za účelom monitorovania srdcovej činnosti (EKG, tep prostredníctvom zavedeného 2-zvodového EKG) a dýchania (analytickými metódami z EKG)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monitorovanie pohybu pacienta (IMU jednotka, troj-osý akcelerometer, gyro</w:t>
            </w:r>
            <w:r>
              <w:rPr>
                <w:rFonts w:eastAsia="Times New Roman"/>
              </w:rPr>
              <w:t>skop a magnetometer) • meranie teploty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meranie barometrického tlaku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nabíjateľná batéria pre niekoľkodňový dohľad 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nabíjanie štandardnou nabíjačkou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stavová LED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akustická signalizácia (signalizuje extrémne hodnoty – upozorní pacienta) • tlačidlo zapnutia</w:t>
            </w:r>
          </w:p>
          <w:p w:rsidR="00000000" w:rsidRDefault="00AE5C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bez</w:t>
            </w:r>
            <w:r>
              <w:rPr>
                <w:rFonts w:eastAsia="Times New Roman"/>
              </w:rPr>
              <w:t xml:space="preserve">drôtový prenos nameraných dát prípadne riadiacich inštrukcií na server </w:t>
            </w:r>
          </w:p>
          <w:p w:rsidR="00000000" w:rsidRDefault="00AE5CBC">
            <w:pPr>
              <w:pStyle w:val="Normlnywebov"/>
            </w:pPr>
            <w:r>
              <w:t>Pri implementácii projektu plánujeme intenzívnu kampaň na predstavenie dostupnosti a podmienok prístupu k tejto službe pre všetky vhodné subjekty poskytujúce zdravotnú starostlivosť pr</w:t>
            </w:r>
            <w:r>
              <w:t xml:space="preserve">evažne občanom vo veku 55-74 rokov. </w:t>
            </w:r>
          </w:p>
        </w:tc>
      </w:tr>
      <w:tr w:rsidR="00000000">
        <w:trPr>
          <w:divId w:val="11368713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11368713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</w:rPr>
        <w:t>Implementácia a migrácia</w:t>
      </w:r>
    </w:p>
    <w:p w:rsidR="00000000" w:rsidRDefault="00AE5CBC">
      <w:pPr>
        <w:pStyle w:val="Normlnywebov"/>
      </w:pPr>
      <w:r>
        <w:rPr>
          <w:rStyle w:val="Zvraznenie"/>
        </w:rPr>
        <w:t>Implementácia a migrácia</w:t>
      </w: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230"/>
        <w:gridCol w:w="2130"/>
        <w:gridCol w:w="2397"/>
      </w:tblGrid>
      <w:tr w:rsidR="00000000">
        <w:trPr>
          <w:divId w:val="819462466"/>
          <w:cantSplit/>
        </w:trPr>
        <w:tc>
          <w:tcPr>
            <w:tcW w:w="49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819462466"/>
          <w:cantSplit/>
        </w:trPr>
        <w:tc>
          <w:tcPr>
            <w:tcW w:w="49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Realizácia projektu je naplánovaná na 36 mesiacov do 07/2023. Cieľom projektu je vybudovať požadované komponenty riešenia využitím PaaS modelu, zabezpečiť prepojenie telemonitorovacích zariadení s centrálnou časťou riešenia, zintegrovať aplikačné komponent</w:t>
            </w:r>
            <w:r>
              <w:t>y do funkčného celku, a po otestovaní riešenia jeho nasadenie do ostrej prevádzky.</w:t>
            </w:r>
          </w:p>
          <w:p w:rsidR="00000000" w:rsidRDefault="00AE5CBC">
            <w:pPr>
              <w:pStyle w:val="Normlnywebov"/>
            </w:pPr>
            <w:r>
              <w:t>V rámci samotného realizačného projektu je nevyhnutné zabezpečiť analýzu funkčných požiadaviek budúcich modulov s detailným popisom biznis procesov a technických procesov na</w:t>
            </w:r>
            <w:r>
              <w:t xml:space="preserve"> úrovni informačného systému. Bude potrebné alokovať dostatočné kapacity (ľudské a časové) na realizáciu daných požiadaviek. Okrem externých pracovníkov dodávateľa zodpovedných za vybudovanie komponentov riešenia bude v rámci jednotlivých realizačných etáp</w:t>
            </w:r>
            <w:r>
              <w:t xml:space="preserve"> a ich aktivít nevyhnutné zaangažovanie interných zamestnancov NCTS, ktorí budú poskytovať súčinnosť pracovníkom dodávateľa, a zároveň budú odbornými garantmi pre analyzovanú agendu podporenú predmetným riešením. </w:t>
            </w:r>
          </w:p>
          <w:p w:rsidR="00000000" w:rsidRDefault="00AE5CBC">
            <w:pPr>
              <w:pStyle w:val="Normlnywebov"/>
            </w:pPr>
            <w:r>
              <w:t>Projekt počíta s dodaním viacerých hlavnýc</w:t>
            </w:r>
            <w:r>
              <w:t>h výstupov:</w:t>
            </w:r>
          </w:p>
          <w:p w:rsidR="00000000" w:rsidRDefault="00AE5CB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Dátové úložisko,</w:t>
            </w:r>
          </w:p>
          <w:p w:rsidR="00000000" w:rsidRDefault="00AE5CB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Dátová integračná platforma,</w:t>
            </w:r>
          </w:p>
          <w:p w:rsidR="00000000" w:rsidRDefault="00AE5CB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Modul analytických nástrojov a konfigurácie.</w:t>
            </w:r>
          </w:p>
          <w:p w:rsidR="00000000" w:rsidRDefault="00AE5CBC">
            <w:pPr>
              <w:pStyle w:val="Normlnywebov"/>
            </w:pPr>
            <w:r>
              <w:t>Navrhovaný projekt bude realizovaný prostredníctvom nasledovných aktivít:</w:t>
            </w:r>
          </w:p>
          <w:p w:rsidR="00000000" w:rsidRDefault="00AE5CB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A1: Analýza a dizajn - v rámci tejto aktivity bude zrealizovaná </w:t>
            </w:r>
            <w:r>
              <w:rPr>
                <w:rFonts w:eastAsia="Times New Roman"/>
              </w:rPr>
              <w:t>analytická etapa, ktorá zahŕňa analýzu súčasného aj budúceho stavu, pričom sa zameriava na nasledujúce oblasti:</w:t>
            </w:r>
          </w:p>
          <w:p w:rsidR="00000000" w:rsidRDefault="00AE5CB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legislatívnu analýzu,</w:t>
            </w:r>
          </w:p>
          <w:p w:rsidR="00000000" w:rsidRDefault="00AE5CB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procesnú analýzu aktuálneho a následne budúceho stavu,</w:t>
            </w:r>
          </w:p>
          <w:p w:rsidR="00000000" w:rsidRDefault="00AE5CB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katalóg rizík,</w:t>
            </w:r>
          </w:p>
          <w:p w:rsidR="00000000" w:rsidRDefault="00AE5CB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katalóg požiadaviek (dokument, ktorý reflektuje aj d</w:t>
            </w:r>
            <w:r>
              <w:rPr>
                <w:rFonts w:eastAsia="Times New Roman"/>
              </w:rPr>
              <w:t>odatočne identifikované riziká riešenia, udržiava sa počas celej doby realizácie).</w:t>
            </w:r>
          </w:p>
          <w:p w:rsidR="00000000" w:rsidRDefault="00AE5CBC">
            <w:pPr>
              <w:pStyle w:val="Normlnywebov"/>
            </w:pPr>
            <w:r>
              <w:t>Funkčný návrh pozostáva z:</w:t>
            </w:r>
          </w:p>
          <w:p w:rsidR="00000000" w:rsidRDefault="00AE5CB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analýzy aplikačnej architektúry s detailným návrhom jednotlivých funkčných celkov riešenia,</w:t>
            </w:r>
          </w:p>
          <w:p w:rsidR="00000000" w:rsidRDefault="00AE5CB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analýzy dátovej architektúry,</w:t>
            </w:r>
          </w:p>
          <w:p w:rsidR="00000000" w:rsidRDefault="00AE5CB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analýzy technologickej a</w:t>
            </w:r>
            <w:r>
              <w:rPr>
                <w:rFonts w:eastAsia="Times New Roman"/>
              </w:rPr>
              <w:t>rchitektúry (špecifikácia HW požiadaviek na privátny cloud).</w:t>
            </w:r>
          </w:p>
          <w:p w:rsidR="00000000" w:rsidRDefault="00AE5CBC">
            <w:pPr>
              <w:pStyle w:val="Normlnywebov"/>
            </w:pPr>
            <w:r>
              <w:t>Návrh metodiky testovania so zahrnutím plánov testovania, testovacích scenárov, zodpovedností a rolí, a pod.</w:t>
            </w:r>
          </w:p>
          <w:p w:rsidR="00000000" w:rsidRDefault="00AE5CBC">
            <w:pPr>
              <w:pStyle w:val="Normlnywebov"/>
            </w:pPr>
            <w:r>
              <w:t>Výstupom fázy Analýza a dizajn bude detailná funkčná špecifikácia pre jednotlivé funkč</w:t>
            </w:r>
            <w:r>
              <w:t>né celky predmetného riešenia ako napríklad: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Katalóg požiadaviek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Špecifikácia biznis architektúry (vrátane procesnej analýzy),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Špecifikácia aplikačnej, dátovej a technologickej architektúry,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Stratégia testovania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Detailná funkčná špecifikácia 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Detailný popi</w:t>
            </w:r>
            <w:r>
              <w:rPr>
                <w:rFonts w:eastAsia="Times New Roman"/>
              </w:rPr>
              <w:t>s funkcionality IS </w:t>
            </w:r>
          </w:p>
          <w:p w:rsidR="00000000" w:rsidRDefault="00AE5CB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Detailná technická špecifikácia</w:t>
            </w:r>
          </w:p>
          <w:p w:rsidR="00000000" w:rsidRDefault="00AE5CBC">
            <w:pPr>
              <w:rPr>
                <w:rFonts w:eastAsia="Times New Roman"/>
              </w:rPr>
            </w:pPr>
          </w:p>
          <w:p w:rsidR="00000000" w:rsidRDefault="00AE5CBC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A2: Nákup HW a krabicového softvéru </w:t>
            </w:r>
            <w:r>
              <w:rPr>
                <w:rFonts w:eastAsia="Times New Roman"/>
              </w:rPr>
              <w:t>- v rámci tejto aktivity bude zrealizované obstaranie krabicového softvéru, ktorý bude následne konfigurovaný a customizovaný, nevyhnutného hardvéru a potrebného pre prevádzku informačného systému a samotných telemonitorovacích zariadení.</w:t>
            </w:r>
          </w:p>
          <w:p w:rsidR="00000000" w:rsidRDefault="00AE5CB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A3: Implementácia</w:t>
            </w:r>
            <w:r>
              <w:rPr>
                <w:rFonts w:eastAsia="Times New Roman"/>
              </w:rPr>
              <w:t xml:space="preserve"> - v rámci implementačnej fázy sa zabezpečí dodanie prvotnej verzie diela pre každý z aplikačných modulov (tieto môžu byť obsiahnuté jedným a viac informačnými systémami) projektu. Po jeho dodaní je potrebné zabezpečiť inštaláciu aktuálneho architektonické</w:t>
            </w:r>
            <w:r>
              <w:rPr>
                <w:rFonts w:eastAsia="Times New Roman"/>
              </w:rPr>
              <w:t>ho rezu do pripraveného testovacieho prostredia.</w:t>
            </w:r>
          </w:p>
          <w:p w:rsidR="00000000" w:rsidRDefault="00AE5CB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A4: Testovanie - bude zrealizované testovanie implementovaného riešenia, postupné zapájanie a testovacia prevádzka telemonitorovacích zariadení, porovnávanie hodnôť údajov získaných telemonitorovacím zariade</w:t>
            </w:r>
            <w:r>
              <w:rPr>
                <w:rFonts w:eastAsia="Times New Roman"/>
              </w:rPr>
              <w:t>ním a štandardnými diagnostickými zariadeniami, testovanie prenosu, vyhodnocovania, bezpečnosti dát ako aj informačného systému. Testovanie bude pozostávať zároveň z otestovania funkcionality komponentov riešenia a z otestovania riešenia nasadeného v privá</w:t>
            </w:r>
            <w:r>
              <w:rPr>
                <w:rFonts w:eastAsia="Times New Roman"/>
              </w:rPr>
              <w:t xml:space="preserve">tnom cloude, ako aj z otestovania prenášania monitorovaných dát do centrálnej časti riešenia. Testovanie bude prebiehať podľa navrhnutých plánov testovania a testovacích scenárov. Plán testovania musí obsahovať: </w:t>
            </w:r>
          </w:p>
          <w:p w:rsidR="00000000" w:rsidRDefault="00AE5CB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návrh testovacích scenárov,</w:t>
            </w:r>
          </w:p>
          <w:p w:rsidR="00000000" w:rsidRDefault="00AE5CB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návrh a metodik</w:t>
            </w:r>
            <w:r>
              <w:rPr>
                <w:rFonts w:eastAsia="Times New Roman"/>
              </w:rPr>
              <w:t>u testovania importu dát.</w:t>
            </w:r>
          </w:p>
          <w:p w:rsidR="00000000" w:rsidRDefault="00AE5CBC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A5: Nasadenie - nasadenie informačného systému do produkčnej prevádzky a postupné nasadenie telemonitorovacích zariadení pre príslušníkov cieľovej skupiny, prvotné nasadenia budú realizované u pacientov počas trvania nemocničnej z</w:t>
            </w:r>
            <w:r>
              <w:rPr>
                <w:rFonts w:eastAsia="Times New Roman"/>
              </w:rPr>
              <w:t>dravotnej starostlivosti tak, aby bol zabezpečený aj štandardný dohľad nad zdravotným stavom pacienta, priebežné vyhodnocovanie získavaných dát, analýza získavaných dát, úprava postupov pre určenie vhodnosti aplikácie telemonitorovacieho zariadenia a násle</w:t>
            </w:r>
            <w:r>
              <w:rPr>
                <w:rFonts w:eastAsia="Times New Roman"/>
              </w:rPr>
              <w:t>dná zdokonaľovanie nasadeného riešenia. Po nasadení je nutnou podmienkou zabezpečenie zaškolenia personálu.</w:t>
            </w:r>
          </w:p>
          <w:p w:rsidR="00000000" w:rsidRDefault="00AE5CB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Podporné aktivity - riadenie projektu a informovanie verejnosti o projekte a poskytnutej podpore.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lastRenderedPageBreak/>
              <w:t>Typaktivity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Aktivita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Začiatok realizácie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Ukonč</w:t>
            </w:r>
            <w:r>
              <w:rPr>
                <w:rStyle w:val="Siln"/>
              </w:rPr>
              <w:t>enie realizácie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Analýza a dizajn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Analýza a špecifikácia požiadaviek na služby pre každý z uvedených aplikačných modulov riešenia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06/2020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03/2021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Obstaranie HW a SW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Obstaranie HW a SW licencií v podobe PaaS modelu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08/2020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10/2020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Implementácia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Implementácia služieb pre každý z uvedených aplikačných modulov riešenia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10/2020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07/2021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Testovanie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Testovanie služieb aplikačných modulov riešenia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01/2021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09/2021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Testovanie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Testovanie – priebežné vyhodnocovanie dát v praxi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03/2022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07/2023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Nasadenie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Na</w:t>
            </w:r>
            <w:r>
              <w:t>sadenie služieb do prevádzky pre každý z uvedených aplikačných modulov riešenia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04/2021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11/2021</w:t>
            </w:r>
          </w:p>
        </w:tc>
      </w:tr>
      <w:tr w:rsidR="00000000">
        <w:trPr>
          <w:divId w:val="819462466"/>
          <w:cantSplit/>
        </w:trPr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Nasadenie</w:t>
            </w:r>
          </w:p>
        </w:tc>
        <w:tc>
          <w:tcPr>
            <w:tcW w:w="1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Nasadenie – konfigurácia parametrov pre potreby lekárov a analýz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03/2021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07/2023</w:t>
            </w:r>
          </w:p>
        </w:tc>
      </w:tr>
    </w:tbl>
    <w:p w:rsidR="00000000" w:rsidRDefault="00AE5CBC">
      <w:pPr>
        <w:pStyle w:val="Normlnywebov"/>
      </w:pPr>
      <w:r>
        <w:rPr>
          <w:noProof/>
          <w:color w:val="000000"/>
        </w:rPr>
        <w:drawing>
          <wp:inline distT="0" distB="0" distL="0" distR="0">
            <wp:extent cx="5943600" cy="2028825"/>
            <wp:effectExtent l="0" t="0" r="0" b="9525"/>
            <wp:docPr id="4" name="Obrázok 4" descr="C:\b17c38d1ee844ffac6bc46305347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b17c38d1ee844ffac6bc463053470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5CBC">
      <w:pPr>
        <w:pStyle w:val="Nadpis4"/>
        <w:rPr>
          <w:rFonts w:eastAsia="Times New Roman"/>
        </w:rPr>
      </w:pPr>
      <w:r>
        <w:rPr>
          <w:rFonts w:eastAsia="Times New Roman"/>
          <w:color w:val="000000"/>
        </w:rPr>
        <w:br/>
        <w:t>Bezpečnostná architektúra</w:t>
      </w:r>
    </w:p>
    <w:p w:rsidR="00000000" w:rsidRDefault="00AE5CBC">
      <w:pPr>
        <w:pStyle w:val="Normlnywebov"/>
      </w:pPr>
      <w:r>
        <w:rPr>
          <w:rStyle w:val="Zvraznenie"/>
        </w:rPr>
        <w:t>Bezpečnostná architektúra - budúci stav</w:t>
      </w:r>
    </w:p>
    <w:tbl>
      <w:tblPr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5"/>
        <w:gridCol w:w="2312"/>
      </w:tblGrid>
      <w:tr w:rsidR="00000000">
        <w:trPr>
          <w:divId w:val="404953613"/>
          <w:cantSplit/>
        </w:trPr>
        <w:tc>
          <w:tcPr>
            <w:tcW w:w="4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404953613"/>
          <w:cantSplit/>
        </w:trPr>
        <w:tc>
          <w:tcPr>
            <w:tcW w:w="4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Vzhľadom na povahu a charakter spracovávaných dát má správne nastavenie bezpečnostnej infraštruktúry kľúčový význam a preto návrh spôsobu riešenia bezpečnosti musí vychádzať z nasledujúcich právnych predpisov:</w:t>
            </w:r>
          </w:p>
          <w:p w:rsidR="00000000" w:rsidRDefault="00AE5CB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Zákon č. 95/2019 Z.z. o informačných systémoch</w:t>
            </w:r>
            <w:r>
              <w:rPr>
                <w:rStyle w:val="Siln"/>
                <w:rFonts w:eastAsia="Times New Roman"/>
              </w:rPr>
              <w:t xml:space="preserve"> verejnej správy a o zmene a doplnení niektorých zákonov.</w:t>
            </w:r>
          </w:p>
          <w:p w:rsidR="00000000" w:rsidRDefault="00AE5CB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Zákon č. 122/2013 Z.z. o ochrane osobných údajov (GDPR).</w:t>
            </w:r>
          </w:p>
          <w:p w:rsidR="00000000" w:rsidRDefault="00AE5CBC">
            <w:pPr>
              <w:pStyle w:val="Normlnywebov"/>
            </w:pPr>
            <w:r>
              <w:t>Podrobné požiadavky na bezpečnosť budovaného systému budú spracované v súlade s platnou legislatívou najmä implementáciou v nasledovných obla</w:t>
            </w:r>
            <w:r>
              <w:t>stiach: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Správa a riadenie prístupu k aplikáciám na základe identít a rolí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Riadenie informačnej bezpečnosti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Manažment rizík pre oblasť informačnej bezpečnosti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Kontrolný mechanizmus riadenia informačnej bezpečnosti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Štandardy minimálneho technického zabezpečenia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Ochrana proti škodlivému kódu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Sieťová bezpečnosť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Oddelené Front-End a Back-end systémy firewallom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Fyzická bezpečnosť a bezpečnosť prostredia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Aktualizácia softvéru a bezpečnostné aktualizácie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Monitorovanie a ma</w:t>
            </w:r>
            <w:r>
              <w:rPr>
                <w:rFonts w:eastAsia="Times New Roman"/>
              </w:rPr>
              <w:t>nažment bezpečnostných incidentov a hodnotenie zraniteľnosti</w:t>
            </w:r>
          </w:p>
          <w:p w:rsidR="00000000" w:rsidRDefault="00AE5CB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Pravidelné zálohovanie systému a údajov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Bezpečnostná požiadavka 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Aplikácia 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Vypracovaný bezpečnostný projekt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Ochrana osobných údajov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Riadenie prístupov k údajom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Riešenie incidentov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Havarijné plánovanie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  <w:tr w:rsidR="00000000">
        <w:trPr>
          <w:divId w:val="404953613"/>
          <w:cantSplit/>
        </w:trPr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Implementácia bezpečnostných zmien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Áno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  <w:color w:val="000000"/>
        </w:rPr>
        <w:t>Prevádzka</w:t>
      </w:r>
    </w:p>
    <w:p w:rsidR="00000000" w:rsidRDefault="00AE5CBC">
      <w:pPr>
        <w:pStyle w:val="Normlnywebov"/>
      </w:pPr>
      <w:r>
        <w:rPr>
          <w:rStyle w:val="Zvraznenie"/>
        </w:rPr>
        <w:t>Prevádzka -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782"/>
      </w:tblGrid>
      <w:tr w:rsidR="00000000">
        <w:trPr>
          <w:divId w:val="2055689324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2055689324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1990355117"/>
            </w:pPr>
            <w:r>
              <w:rPr>
                <w:rStyle w:val="Siln"/>
              </w:rPr>
              <w:lastRenderedPageBreak/>
              <w:t>Schéma procesu a využívania telemonitorovacích zariadení:</w:t>
            </w:r>
          </w:p>
          <w:p w:rsidR="00000000" w:rsidRDefault="00AE5CBC">
            <w:pPr>
              <w:pStyle w:val="Normlnywebov"/>
              <w:divId w:val="1990355117"/>
            </w:pPr>
            <w:r>
              <w:t>Po nasadení telemonitorovacieho zariadenia pacientovi u poskytovateľa zdravotnej starostlivosti je začatý proces odosielania biosignálov do databázového servera prostredníctvom internetu.</w:t>
            </w:r>
          </w:p>
          <w:p w:rsidR="00000000" w:rsidRDefault="00AE5CBC">
            <w:pPr>
              <w:pStyle w:val="Normlnywebov"/>
              <w:divId w:val="1990355117"/>
            </w:pPr>
            <w:r>
              <w:t>K pacientovi vytvorené v informačnom sstému unikátne konto, ktoré je</w:t>
            </w:r>
            <w:r>
              <w:t xml:space="preserve"> spárované so zaregistrovaným telemonitorovacím zariadení. Poskytovateľ nastaví iniciálne parametre merania fyziologických signálov (dĺžka merania, rozsah meraných údajov, interval merania, nastavenie kritických hodnôt a pod.).</w:t>
            </w:r>
          </w:p>
          <w:p w:rsidR="00000000" w:rsidRDefault="00AE5CBC">
            <w:pPr>
              <w:pStyle w:val="Normlnywebov"/>
              <w:divId w:val="1990355117"/>
            </w:pPr>
            <w:r>
              <w:t>Priebežné získavané dáta z t</w:t>
            </w:r>
            <w:r>
              <w:t>elemonitorovacích zariadení sú analyzované a spracované v rámci vytvoreného informačného systému. Zanalyzované dáta sú následne v spracovanej podobe zobrazované v prezentačnej vrstve informačného systému vo webovom rozhraní Poskytovateľovi zdravotnej staro</w:t>
            </w:r>
            <w:r>
              <w:t>stlivosti a v zjednodušenej forme aj samotnému pacientovi. Na základe získaných dát poskytovateľ rozhoduje o úprave parametrov merania fyziologických signálov (zmena dĺžky merania, rozsahu meraných údajov, intervalu merania, zmena nastavení kritických hodn</w:t>
            </w:r>
            <w:r>
              <w:t>ôt a pod.).</w:t>
            </w:r>
          </w:p>
          <w:p w:rsidR="00000000" w:rsidRDefault="00AE5CBC">
            <w:pPr>
              <w:pStyle w:val="Normlnywebov"/>
              <w:divId w:val="1990355117"/>
            </w:pPr>
            <w:r>
              <w:t>Na základe získavaných údajov môže Poskytovateľ výrazne skrátiť čas potrebný pre vyšetrenie pacienta v ambulancii, upraviť dávky predpísaných liekov, vyšetriť a overiť diagnosticky náročnejšie ochorenia.</w:t>
            </w:r>
          </w:p>
          <w:p w:rsidR="00000000" w:rsidRDefault="00AE5CBC">
            <w:pPr>
              <w:pStyle w:val="Normlnywebov"/>
              <w:divId w:val="1990355117"/>
            </w:pPr>
          </w:p>
        </w:tc>
      </w:tr>
      <w:tr w:rsidR="00000000">
        <w:trPr>
          <w:divId w:val="2055689324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173134341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3819525"/>
                  <wp:effectExtent l="0" t="0" r="0" b="9525"/>
                  <wp:docPr id="5" name="Obrázok 5" descr="C:\90721dd12aa25816da42066bcfff24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90721dd12aa25816da42066bcfff24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E5CBC">
            <w:pPr>
              <w:pStyle w:val="Normlnywebov"/>
              <w:divId w:val="1731343413"/>
            </w:pPr>
          </w:p>
        </w:tc>
      </w:tr>
      <w:tr w:rsidR="00000000">
        <w:trPr>
          <w:divId w:val="2055689324"/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</w:p>
          <w:p w:rsidR="00000000" w:rsidRDefault="00AE5CBC">
            <w:pPr>
              <w:pStyle w:val="Normlnywebov"/>
            </w:pPr>
            <w:r>
              <w:t>Samotná prevádzka riešenia bude prebiehať v prostredí privátneho cloudu na základe nastavenia využív</w:t>
            </w:r>
            <w:r>
              <w:t>aných služieb PaaS. Prevádzka systému bude zabezpečená:</w:t>
            </w:r>
          </w:p>
          <w:p w:rsidR="00000000" w:rsidRDefault="00AE5CB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v režime 24x7 (24 hodín denne, 7 dní v týždni),</w:t>
            </w:r>
          </w:p>
          <w:p w:rsidR="00000000" w:rsidRDefault="00AE5CB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miera dostupnosti min. 95%,</w:t>
            </w:r>
          </w:p>
          <w:p w:rsidR="00000000" w:rsidRDefault="00AE5CB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zálohovanie údajov.</w:t>
            </w:r>
          </w:p>
          <w:p w:rsidR="00000000" w:rsidRDefault="00AE5CBC">
            <w:pPr>
              <w:pStyle w:val="Normlnywebov"/>
            </w:pPr>
            <w:r>
              <w:t>Služby v oblasti podpory prevádzky systému budú zabezpečované v súlade s procesmi a funkciami riadenia I</w:t>
            </w:r>
            <w:r>
              <w:t>T služieb procesného rámca ITIL/ITSM. Ako primárny kanál podpory riešenia bude využívaný email s tým, že do budúcnosti je možné rozšírenie o ITSM nástroj s cieľom poskytovať podporu formou evidencie a spracovávania požiadaviek na podporu.</w:t>
            </w:r>
          </w:p>
          <w:p w:rsidR="00000000" w:rsidRDefault="00AE5CBC">
            <w:pPr>
              <w:pStyle w:val="Normlnywebov"/>
            </w:pPr>
            <w:r>
              <w:t>Navrhuje sa využi</w:t>
            </w:r>
            <w:r>
              <w:t>tie trojvrstvovej úrovne podpory:</w:t>
            </w:r>
          </w:p>
          <w:p w:rsidR="00000000" w:rsidRDefault="00AE5CB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L1 – podpora bude zabezpečovaná zamestnancami NCTS, a bude riešiť predovšetkým infraštruktúrne a technologické požiadavky,</w:t>
            </w:r>
          </w:p>
          <w:p w:rsidR="00000000" w:rsidRDefault="00AE5CB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L2 – úroveň technickej podpora bude zabezpečovaná dodávateľom riešenia,</w:t>
            </w:r>
          </w:p>
          <w:p w:rsidR="00000000" w:rsidRDefault="00AE5CB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L3 – podpora bude pokrývaná</w:t>
            </w:r>
            <w:r>
              <w:rPr>
                <w:rFonts w:eastAsia="Times New Roman"/>
              </w:rPr>
              <w:t xml:space="preserve"> pracovníkmi externej podpory dodávateľa.</w:t>
            </w:r>
          </w:p>
          <w:p w:rsidR="00000000" w:rsidRDefault="00AE5CBC">
            <w:pPr>
              <w:pStyle w:val="Normlnywebov"/>
            </w:pPr>
            <w:r>
              <w:t>Každá z úrovní podpory bude zabezpečovať jednoznačne špecifikované povinnosti.</w:t>
            </w:r>
          </w:p>
          <w:p w:rsidR="00000000" w:rsidRDefault="00AE5CBC">
            <w:pPr>
              <w:pStyle w:val="Normlnywebov"/>
            </w:pPr>
            <w:r>
              <w:t>Povinnosti L1 – základnej úrovne podpory:</w:t>
            </w:r>
          </w:p>
          <w:p w:rsidR="00000000" w:rsidRDefault="00AE5CBC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zabezpečuje koordináciu riešenia incidentov a požiadaviek používateľov zadaných prostredníctv</w:t>
            </w:r>
            <w:r>
              <w:rPr>
                <w:rFonts w:eastAsia="Times New Roman"/>
              </w:rPr>
              <w:t>om e-mailu, telefónu, web formulára s nižšími úrovňami podpory a dohliada na uzavretie incidentu a požiadavky.</w:t>
            </w:r>
          </w:p>
          <w:p w:rsidR="00000000" w:rsidRDefault="00AE5CBC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zovšeobecňuje závery riešených problémov do internej znalostnej databázy.</w:t>
            </w:r>
          </w:p>
          <w:p w:rsidR="00000000" w:rsidRDefault="00AE5CBC">
            <w:pPr>
              <w:pStyle w:val="Normlnywebov"/>
            </w:pPr>
            <w:r>
              <w:t>Povinnosti L2 – prevádzkovej podpory: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koordinuje a zabezpečuje dostupno</w:t>
            </w:r>
            <w:r>
              <w:rPr>
                <w:rFonts w:eastAsia="Times New Roman"/>
              </w:rPr>
              <w:t>sť prevádzky informačného systému (aj formou vedenia pohotovosti v prípade potreby),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zabezpečuje inštaláciu a konfiguráciu aplikačnej časti informačného systému, 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vykonáva monitorovanie a vyhodnocovanie funkčnosti aplikačnej časti informačného systému,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zabezpečuje informácie pre koordináciu používateľov počas neplánovanej výluky systému, ako aj pred a počas plánovanej výluky informačného systému,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spolupracuje pri analýze, testovaní a akceptácii informačného systému,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zabezpečuje školenia v oblasti informa</w:t>
            </w:r>
            <w:r>
              <w:rPr>
                <w:rFonts w:eastAsia="Times New Roman"/>
              </w:rPr>
              <w:t>čného systému pre dotknuté zainteresované strany,</w:t>
            </w:r>
          </w:p>
          <w:p w:rsidR="00000000" w:rsidRDefault="00AE5CB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zodpovedá za odstraňovanie prevádzkových incidentov informačného systému, vykonáva správu používateľských a aplikačných prístupových práv a hesiel v informačnom systéme MIS, ako aj správu prístupových práv </w:t>
            </w:r>
            <w:r>
              <w:rPr>
                <w:rFonts w:eastAsia="Times New Roman"/>
              </w:rPr>
              <w:t>externých subjektov k aplikačnej časti.</w:t>
            </w:r>
          </w:p>
          <w:p w:rsidR="00000000" w:rsidRDefault="00AE5CBC">
            <w:pPr>
              <w:pStyle w:val="Normlnywebov"/>
            </w:pPr>
            <w:r>
              <w:lastRenderedPageBreak/>
              <w:t>IT experti dodávateľských organizácii budú na základe servisných zmlúv zabezpečovať tretiu, expertnú technickú podporu. Súčasťou zmluvného vzťahu bude detailná špecifikácia SLA pre jednotlivé oblasti L3 úrovne podpor</w:t>
            </w:r>
            <w:r>
              <w:t>y zabezpečovanej dodávateľom, a tiež sankcie spojené s nedodržaním dohodnutej úrovne podpory.</w:t>
            </w:r>
          </w:p>
          <w:p w:rsidR="00000000" w:rsidRDefault="00AE5CBC">
            <w:pPr>
              <w:pStyle w:val="Normlnywebov"/>
            </w:pPr>
          </w:p>
        </w:tc>
      </w:tr>
      <w:tr w:rsidR="00000000">
        <w:trPr>
          <w:divId w:val="205568932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lastRenderedPageBreak/>
              <w:t>Prílohy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Diagramy, modely, obrázky v plnom rozlíšení</w:t>
            </w:r>
          </w:p>
        </w:tc>
      </w:tr>
      <w:tr w:rsidR="00000000">
        <w:trPr>
          <w:divId w:val="205568932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  <w:divId w:val="429083401"/>
            </w:pPr>
            <w:r>
              <w:rPr>
                <w:rStyle w:val="Zvraznenie"/>
              </w:rPr>
              <w:t>-</w:t>
            </w:r>
          </w:p>
        </w:tc>
      </w:tr>
    </w:tbl>
    <w:p w:rsidR="00000000" w:rsidRDefault="00AE5CBC">
      <w:pPr>
        <w:pStyle w:val="Nadpis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Ekonomická analýza</w:t>
      </w:r>
    </w:p>
    <w:p w:rsidR="00000000" w:rsidRDefault="00AE5CBC">
      <w:pPr>
        <w:pStyle w:val="Normlnywebov"/>
      </w:pPr>
      <w:r>
        <w:rPr>
          <w:rStyle w:val="Zvraznenie"/>
        </w:rPr>
        <w:t>Ekonomická analýza - budúci stav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7766"/>
      </w:tblGrid>
      <w:tr w:rsidR="00000000">
        <w:trPr>
          <w:divId w:val="1215313165"/>
          <w:cantSplit/>
        </w:trPr>
        <w:tc>
          <w:tcPr>
            <w:tcW w:w="4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Súhrnný popis</w:t>
            </w:r>
          </w:p>
        </w:tc>
      </w:tr>
      <w:tr w:rsidR="00000000">
        <w:trPr>
          <w:divId w:val="1215313165"/>
          <w:cantSplit/>
        </w:trPr>
        <w:tc>
          <w:tcPr>
            <w:tcW w:w="4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lastRenderedPageBreak/>
              <w:t>V </w:t>
            </w:r>
            <w:r>
              <w:t>rámci ekonomickej analýzy je kladený dôraz predovšetkým na definovanie prínosov navrhovaného projektu a to ako kvalitatívnych, tak aj kvantitatívnych. Zároveň sú v tejto časti definované aj náklady na realizáciu projektu pre jednotlivé aktivity. V nasleduj</w:t>
            </w:r>
            <w:r>
              <w:t>úcej tabuľke je uvedené zaradenie projektu do finančného pásma, ktoré determinuje, či je potrebná detailná ekonomická analýza prostredníctvom CBA alebo postačuje len slovné vyhodnotenie a TCO analýza.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1137"/>
              <w:gridCol w:w="5624"/>
            </w:tblGrid>
            <w:tr w:rsidR="00000000">
              <w:trPr>
                <w:divId w:val="524250227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Celkové náklady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Aplikácia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rPr>
                      <w:rStyle w:val="Siln"/>
                    </w:rPr>
                    <w:t>Miera závažnosti</w:t>
                  </w:r>
                </w:p>
              </w:tc>
            </w:tr>
            <w:tr w:rsidR="00000000">
              <w:trPr>
                <w:divId w:val="524250227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 xml:space="preserve">&lt; </w:t>
                  </w:r>
                  <w:r>
                    <w:t>1,000,000.00 EUR s DPH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     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CBA nie je potrebná a v časti prínosov nie je potrebné vyčísliť jednotlivé prínosy</w:t>
                  </w:r>
                </w:p>
              </w:tc>
            </w:tr>
            <w:tr w:rsidR="00000000">
              <w:trPr>
                <w:divId w:val="524250227"/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&gt;= 1,000,000.00 EUR s DPH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      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AE5CBC">
                  <w:pPr>
                    <w:pStyle w:val="Normlnywebov"/>
                  </w:pPr>
                  <w:r>
                    <w:t>CBA je potrebná a v časti prínosov sú vyčíslené kvantitatívne prínosy</w:t>
                  </w:r>
                </w:p>
              </w:tc>
            </w:tr>
          </w:tbl>
          <w:p w:rsidR="00000000" w:rsidRDefault="00AE5CBC">
            <w:pPr>
              <w:pStyle w:val="Normlnywebov"/>
            </w:pPr>
            <w:r>
              <w:rPr>
                <w:rStyle w:val="Siln"/>
              </w:rPr>
              <w:t>Celkové náklady na predmetné riešenie počas realizácie</w:t>
            </w:r>
            <w:r>
              <w:t xml:space="preserve"> (36 mesiacov) sú na úrovni 3 129 175 EUR s DPH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Pomer prínosov a nákladov</w:t>
            </w:r>
            <w:r>
              <w:t xml:space="preserve"> = 1.31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Čistá súčasná ekonomická hodnota (ENPV)</w:t>
            </w:r>
            <w:r>
              <w:t xml:space="preserve"> = 1 018 447 EUR s DPH</w:t>
            </w:r>
          </w:p>
          <w:p w:rsidR="00000000" w:rsidRDefault="00AE5CBC">
            <w:pPr>
              <w:pStyle w:val="Normlnywebov"/>
            </w:pPr>
            <w:r>
              <w:rPr>
                <w:rStyle w:val="Siln"/>
              </w:rPr>
              <w:t>Rok návratu investície (PBP)</w:t>
            </w:r>
            <w:r>
              <w:t xml:space="preserve"> = t9 (rok 2028)</w:t>
            </w:r>
          </w:p>
          <w:p w:rsidR="00000000" w:rsidRDefault="00AE5CBC">
            <w:pPr>
              <w:pStyle w:val="Normlnywebov"/>
            </w:pPr>
            <w:r>
              <w:t>Prínosy uveden</w:t>
            </w:r>
            <w:r>
              <w:t>ého riešenia pre analytické spracovanie a využitie údajov o pacientovom stave prostredníctvom telemonitorovacích zariadení spočívajú tak v ušetrení nákladov na hospitalizáciu pacientov, ako aj v investigatívnom a podpornom charaktere, čo znamená, že v prax</w:t>
            </w:r>
            <w:r>
              <w:t>i sa bude jednať o vyhodnocovanie a overovanie predpokladov a hypotéz či rôzne simulácie nad nameranými priebehmi (ako napr. transformačné algoritmy pre spracovanie a obohacovanie zozbieraných dát a informácií, typ zariadenia, informácie o skúmanej entite,</w:t>
            </w:r>
            <w:r>
              <w:t xml:space="preserve"> času merania, typu prenosu, a pod.).</w:t>
            </w:r>
          </w:p>
          <w:p w:rsidR="00000000" w:rsidRDefault="00AE5CBC">
            <w:pPr>
              <w:pStyle w:val="Normlnywebov"/>
            </w:pPr>
            <w:r>
              <w:t>Analytické výstupy nie v každom prípade prispejú k priamemu ekonomickému prínosu, ktorý bude možné jednoznačne kvantifikovať, z toho dôvodu bol ako podklad pre kvantifikáciu prínosov uvažované ušetrenie nákladov na hos</w:t>
            </w:r>
            <w:r>
              <w:t>pitalizáciu pacienta. Na základe verejne dostupných zdrojov (napr. Informatívna správa o zdravotníckych zariadeniach v zriaďovateľskej pôsobnosti TSK za rok 2013) sú náklady na jeden deň hospitalizácie pacienta vyčíslené na 90 EUR. Uvažovaný počet nasadený</w:t>
            </w:r>
            <w:r>
              <w:t>ch telemonitorovacích zariadení do obehu je 1500 kusov, pričom je simulovaná ich prepoužiteľnosť na ročnej báze koeficientom v intervale od 1 až po 2,5, tj. 2,5 krát sa jedno telemonitorovacie zariadenie prestrieda pri pacientoch za jeden rok.</w:t>
            </w:r>
          </w:p>
          <w:p w:rsidR="00000000" w:rsidRDefault="00AE5CBC">
            <w:pPr>
              <w:pStyle w:val="Normlnywebov"/>
            </w:pPr>
            <w:r>
              <w:t>Pre účely čo</w:t>
            </w:r>
            <w:r>
              <w:t xml:space="preserve"> najviac reálneho odhadu bol nasimulovaný postupný nábeh zariadení, ako aj postupné zvyšovanie ich prepoužiteľnosti. Tento scenár v sumáre predstavuje ušetrené náklady </w:t>
            </w:r>
            <w:r>
              <w:lastRenderedPageBreak/>
              <w:t>na hospitalizáciu pacientov vo výške 5 805 000 EUR, a to počas 8 rokov prevádzky riešeni</w:t>
            </w:r>
            <w:r>
              <w:t>a (od tretieho roku realizácie projektu).</w:t>
            </w:r>
          </w:p>
          <w:p w:rsidR="00000000" w:rsidRDefault="00AE5CBC">
            <w:pPr>
              <w:pStyle w:val="Normlnywebov"/>
            </w:pPr>
            <w:r>
              <w:t>Navyše, pri uvedenom vyčíslení prínosov nie sú neuvažované ďalšie spoločenské a ekonomické benefity riešenia, ako sú zistené skryté ochorenia ťažko odhaliteľné v zariadeniach, monitorovanie a odchytenie náhlych zho</w:t>
            </w:r>
            <w:r>
              <w:t xml:space="preserve">ršení zdravotného stavu, úspora času stráveného návštevou lekára, možnosť zapojenia do produktívneho pracovného prostredia, a pod. Na základe uvedeného je možné konštatovať, že pomer prínosov a nákladov, čistá súčasná ekonomická hodnota ako aj rok návratu </w:t>
            </w:r>
            <w:r>
              <w:t>má po zohľadnení ďalších spoločensko-ekonomických súvislostí a efektov potenciál dosahovať v praxi priaznivejšie ako uvedené hodnoty.</w:t>
            </w:r>
          </w:p>
        </w:tc>
      </w:tr>
      <w:tr w:rsidR="00000000">
        <w:trPr>
          <w:divId w:val="1215313165"/>
          <w:cantSplit/>
        </w:trPr>
        <w:tc>
          <w:tcPr>
            <w:tcW w:w="4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Zvraznenie"/>
              </w:rPr>
              <w:lastRenderedPageBreak/>
              <w:t>-</w:t>
            </w:r>
          </w:p>
        </w:tc>
      </w:tr>
      <w:tr w:rsidR="00000000">
        <w:trPr>
          <w:divId w:val="1215313165"/>
          <w:cantSplit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Riziko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rPr>
                <w:rStyle w:val="Siln"/>
              </w:rPr>
              <w:t>Spôsob mitigácie</w:t>
            </w:r>
          </w:p>
        </w:tc>
      </w:tr>
      <w:tr w:rsidR="00000000">
        <w:trPr>
          <w:divId w:val="1215313165"/>
          <w:cantSplit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Náklady na prevádzku budú vyššie ako plánované resp. sa vymknú spod kontroly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Manažment nákl</w:t>
            </w:r>
            <w:r>
              <w:t>adov na prevádzku je dôkladne riešený už v štádiu návrhu projektu. Zabezpečenie nákladov na prevádzku bude stanovené ako priorita s priebežnou kontrolou nákladov a presne definovaným rozpočtom.</w:t>
            </w:r>
          </w:p>
        </w:tc>
      </w:tr>
      <w:tr w:rsidR="00000000">
        <w:trPr>
          <w:divId w:val="1215313165"/>
          <w:cantSplit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Projekt nedosiahne očakávané prínosy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 xml:space="preserve">Uvažované hodnoty vychádzajú z dostupných štatistických dát. Pri vyčísľovaní ekonomických benefitov boli uvažované iba primárne benefity ako napríklad úspora ošetrovacích dní v nemocničnom zariadení a abstrahuje sa od ďalších ekonomických benefitov, ktoré </w:t>
            </w:r>
            <w:r>
              <w:t>pravdepodobne budú vznikať (pridaná hodnota produkovaná zdravým človekom, úspory prostriedkov vynaložených na návštevu lekára, zefektívnenie zdravotnej starostlivosti a pod.). Pri odhade miery dosahovaných ekonomických benefitov bol využitý realistický var</w:t>
            </w:r>
            <w:r>
              <w:t>iant.</w:t>
            </w:r>
          </w:p>
        </w:tc>
      </w:tr>
      <w:tr w:rsidR="00000000">
        <w:trPr>
          <w:divId w:val="1215313165"/>
          <w:cantSplit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Nebudú k dispozícii údaje, aby sa dali overiť prínosy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Nie je relevantným rizikom pre navrhovaný projekt. Nasadenie telemonitorovacích zariadení bude realizované v spolupráci s poskytovateľmi zdravotnej starostlivosti, ktorí budú zároveň evidovať prí</w:t>
            </w:r>
            <w:r>
              <w:t>nosy z ich nasadenia. Celkový vplyv na územie nasadenia telemonitorovacích zariadení bude možné identifikovať aj na základe pravidelne zbieraných údajov o zdravotníckych výkonoch ako aj zdravotnom stave daného obyvateľstva.</w:t>
            </w:r>
          </w:p>
        </w:tc>
      </w:tr>
      <w:tr w:rsidR="00000000">
        <w:trPr>
          <w:divId w:val="1215313165"/>
          <w:cantSplit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Náklady na implementáciu budú v</w:t>
            </w:r>
            <w:r>
              <w:t>yššie ako plánované resp. sa vymknú spod kontroly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E5CBC">
            <w:pPr>
              <w:pStyle w:val="Normlnywebov"/>
            </w:pPr>
            <w:r>
              <w:t>Uvedené riziko bude eliminované efektívnym projektovým manažmentom a priebežnou kontrolou nákladov na realizáciu projektu.</w:t>
            </w:r>
            <w:r>
              <w:rPr>
                <w:rStyle w:val="Siln"/>
              </w:rPr>
              <w:t> </w:t>
            </w:r>
          </w:p>
        </w:tc>
      </w:tr>
    </w:tbl>
    <w:p w:rsidR="00000000" w:rsidRDefault="00AE5CBC">
      <w:pPr>
        <w:pStyle w:val="Normlnywebov"/>
      </w:pPr>
    </w:p>
    <w:p w:rsidR="00AE5CBC" w:rsidRDefault="00AE5CBC">
      <w:pPr>
        <w:pStyle w:val="Normlnywebov"/>
      </w:pPr>
    </w:p>
    <w:sectPr w:rsidR="00AE5CBC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35F"/>
    <w:multiLevelType w:val="multilevel"/>
    <w:tmpl w:val="BFA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20A"/>
    <w:multiLevelType w:val="multilevel"/>
    <w:tmpl w:val="1FB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22E35"/>
    <w:multiLevelType w:val="multilevel"/>
    <w:tmpl w:val="BA5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B36D1"/>
    <w:multiLevelType w:val="multilevel"/>
    <w:tmpl w:val="7C6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3380A"/>
    <w:multiLevelType w:val="multilevel"/>
    <w:tmpl w:val="1DE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020B0"/>
    <w:multiLevelType w:val="multilevel"/>
    <w:tmpl w:val="578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95C48"/>
    <w:multiLevelType w:val="multilevel"/>
    <w:tmpl w:val="02E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7FA3"/>
    <w:multiLevelType w:val="multilevel"/>
    <w:tmpl w:val="A44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874BD"/>
    <w:multiLevelType w:val="multilevel"/>
    <w:tmpl w:val="7B0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17DE8"/>
    <w:multiLevelType w:val="multilevel"/>
    <w:tmpl w:val="FE3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E475C"/>
    <w:multiLevelType w:val="multilevel"/>
    <w:tmpl w:val="9296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2B63"/>
    <w:multiLevelType w:val="multilevel"/>
    <w:tmpl w:val="467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F6AE8"/>
    <w:multiLevelType w:val="multilevel"/>
    <w:tmpl w:val="067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F12AB"/>
    <w:multiLevelType w:val="multilevel"/>
    <w:tmpl w:val="DBD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E308D"/>
    <w:multiLevelType w:val="multilevel"/>
    <w:tmpl w:val="BE4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94928"/>
    <w:multiLevelType w:val="multilevel"/>
    <w:tmpl w:val="9302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D2025"/>
    <w:multiLevelType w:val="multilevel"/>
    <w:tmpl w:val="C8B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028F8"/>
    <w:multiLevelType w:val="multilevel"/>
    <w:tmpl w:val="C28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D2E2F"/>
    <w:multiLevelType w:val="multilevel"/>
    <w:tmpl w:val="064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1274F"/>
    <w:multiLevelType w:val="multilevel"/>
    <w:tmpl w:val="94D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2661D"/>
    <w:multiLevelType w:val="multilevel"/>
    <w:tmpl w:val="7CE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16D6C"/>
    <w:multiLevelType w:val="multilevel"/>
    <w:tmpl w:val="1B0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1564F"/>
    <w:multiLevelType w:val="multilevel"/>
    <w:tmpl w:val="BDC8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B4E43"/>
    <w:multiLevelType w:val="multilevel"/>
    <w:tmpl w:val="6FB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E7D71"/>
    <w:multiLevelType w:val="multilevel"/>
    <w:tmpl w:val="7C2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003A8"/>
    <w:multiLevelType w:val="multilevel"/>
    <w:tmpl w:val="F898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02B13"/>
    <w:multiLevelType w:val="multilevel"/>
    <w:tmpl w:val="458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63478"/>
    <w:multiLevelType w:val="multilevel"/>
    <w:tmpl w:val="19C4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43A4A"/>
    <w:multiLevelType w:val="multilevel"/>
    <w:tmpl w:val="ABA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127E6"/>
    <w:multiLevelType w:val="multilevel"/>
    <w:tmpl w:val="A9E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8667D"/>
    <w:multiLevelType w:val="multilevel"/>
    <w:tmpl w:val="36FC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D35EDE"/>
    <w:multiLevelType w:val="multilevel"/>
    <w:tmpl w:val="67D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31268"/>
    <w:multiLevelType w:val="multilevel"/>
    <w:tmpl w:val="BDC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396CA0"/>
    <w:multiLevelType w:val="multilevel"/>
    <w:tmpl w:val="0C6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178B2"/>
    <w:multiLevelType w:val="multilevel"/>
    <w:tmpl w:val="310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D78B0"/>
    <w:multiLevelType w:val="multilevel"/>
    <w:tmpl w:val="7A2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8A3F4B"/>
    <w:multiLevelType w:val="multilevel"/>
    <w:tmpl w:val="C74C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33632"/>
    <w:multiLevelType w:val="multilevel"/>
    <w:tmpl w:val="A61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05145"/>
    <w:multiLevelType w:val="multilevel"/>
    <w:tmpl w:val="0B6C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00F4E"/>
    <w:multiLevelType w:val="multilevel"/>
    <w:tmpl w:val="9C7C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14429"/>
    <w:multiLevelType w:val="multilevel"/>
    <w:tmpl w:val="168E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D0B49"/>
    <w:multiLevelType w:val="multilevel"/>
    <w:tmpl w:val="526C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C289A"/>
    <w:multiLevelType w:val="multilevel"/>
    <w:tmpl w:val="A18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1"/>
  </w:num>
  <w:num w:numId="3">
    <w:abstractNumId w:val="9"/>
  </w:num>
  <w:num w:numId="4">
    <w:abstractNumId w:val="29"/>
  </w:num>
  <w:num w:numId="5">
    <w:abstractNumId w:val="36"/>
  </w:num>
  <w:num w:numId="6">
    <w:abstractNumId w:val="33"/>
  </w:num>
  <w:num w:numId="7">
    <w:abstractNumId w:val="10"/>
  </w:num>
  <w:num w:numId="8">
    <w:abstractNumId w:val="18"/>
  </w:num>
  <w:num w:numId="9">
    <w:abstractNumId w:val="16"/>
  </w:num>
  <w:num w:numId="10">
    <w:abstractNumId w:val="20"/>
  </w:num>
  <w:num w:numId="11">
    <w:abstractNumId w:val="37"/>
  </w:num>
  <w:num w:numId="12">
    <w:abstractNumId w:val="40"/>
  </w:num>
  <w:num w:numId="13">
    <w:abstractNumId w:val="35"/>
  </w:num>
  <w:num w:numId="14">
    <w:abstractNumId w:val="26"/>
  </w:num>
  <w:num w:numId="15">
    <w:abstractNumId w:val="3"/>
  </w:num>
  <w:num w:numId="16">
    <w:abstractNumId w:val="23"/>
  </w:num>
  <w:num w:numId="17">
    <w:abstractNumId w:val="15"/>
  </w:num>
  <w:num w:numId="18">
    <w:abstractNumId w:val="19"/>
  </w:num>
  <w:num w:numId="19">
    <w:abstractNumId w:val="5"/>
  </w:num>
  <w:num w:numId="20">
    <w:abstractNumId w:val="30"/>
  </w:num>
  <w:num w:numId="21">
    <w:abstractNumId w:val="12"/>
  </w:num>
  <w:num w:numId="22">
    <w:abstractNumId w:val="38"/>
  </w:num>
  <w:num w:numId="23">
    <w:abstractNumId w:val="28"/>
  </w:num>
  <w:num w:numId="24">
    <w:abstractNumId w:val="24"/>
  </w:num>
  <w:num w:numId="25">
    <w:abstractNumId w:val="4"/>
  </w:num>
  <w:num w:numId="26">
    <w:abstractNumId w:val="0"/>
  </w:num>
  <w:num w:numId="27">
    <w:abstractNumId w:val="2"/>
  </w:num>
  <w:num w:numId="28">
    <w:abstractNumId w:val="22"/>
  </w:num>
  <w:num w:numId="29">
    <w:abstractNumId w:val="7"/>
  </w:num>
  <w:num w:numId="30">
    <w:abstractNumId w:val="34"/>
  </w:num>
  <w:num w:numId="31">
    <w:abstractNumId w:val="13"/>
  </w:num>
  <w:num w:numId="32">
    <w:abstractNumId w:val="14"/>
  </w:num>
  <w:num w:numId="33">
    <w:abstractNumId w:val="21"/>
  </w:num>
  <w:num w:numId="34">
    <w:abstractNumId w:val="25"/>
  </w:num>
  <w:num w:numId="35">
    <w:abstractNumId w:val="11"/>
  </w:num>
  <w:num w:numId="36">
    <w:abstractNumId w:val="1"/>
  </w:num>
  <w:num w:numId="37">
    <w:abstractNumId w:val="42"/>
  </w:num>
  <w:num w:numId="38">
    <w:abstractNumId w:val="32"/>
  </w:num>
  <w:num w:numId="39">
    <w:abstractNumId w:val="17"/>
  </w:num>
  <w:num w:numId="40">
    <w:abstractNumId w:val="39"/>
  </w:num>
  <w:num w:numId="41">
    <w:abstractNumId w:val="8"/>
  </w:num>
  <w:num w:numId="42">
    <w:abstractNumId w:val="2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80A"/>
    <w:rsid w:val="00AE5CBC"/>
    <w:rsid w:val="00E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57CA-CBDE-4192-8F45-411AA58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stitlepage">
    <w:name w:val="fstitlepage"/>
    <w:basedOn w:val="Normlny"/>
    <w:pPr>
      <w:spacing w:before="100" w:beforeAutospacing="1" w:after="100" w:afterAutospacing="1"/>
    </w:pPr>
  </w:style>
  <w:style w:type="character" w:customStyle="1" w:styleId="su2header">
    <w:name w:val="su2_header"/>
    <w:basedOn w:val="Predvolenpsmoodseku"/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anchor-link">
    <w:name w:val="confluence-anchor-link"/>
    <w:basedOn w:val="Predvolenpsmoodseku"/>
  </w:style>
  <w:style w:type="character" w:styleId="Siln">
    <w:name w:val="Strong"/>
    <w:basedOn w:val="Predvolenpsmoodseku"/>
    <w:uiPriority w:val="22"/>
    <w:qFormat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confluence-embedded-file-wrapper">
    <w:name w:val="confluence-embedded-file-wrappe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hyperlink" Target="http://www.europarl.europa.eu/oeil/FindByProcnum.do?lang=2&amp;procnum=INI/2006/2275" TargetMode="External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SU-MD-su_543</vt:lpstr>
    </vt:vector>
  </TitlesOfParts>
  <Company/>
  <LinksUpToDate>false</LinksUpToDate>
  <CharactersWithSpaces>82026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SU-MD-su_543</dc:title>
  <dc:subject/>
  <dc:creator>Používateľ systému Windows</dc:creator>
  <cp:keywords/>
  <dc:description/>
  <cp:lastModifiedBy>Používateľ systému Windows</cp:lastModifiedBy>
  <cp:revision>2</cp:revision>
  <dcterms:created xsi:type="dcterms:W3CDTF">2019-12-12T13:25:00Z</dcterms:created>
  <dcterms:modified xsi:type="dcterms:W3CDTF">2019-12-12T13:25:00Z</dcterms:modified>
</cp:coreProperties>
</file>